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14</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2500914</w:t>
      </w:r>
    </w:p>
    <w:p>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Athens, GR, 17th – 21st February</w:t>
      </w:r>
      <w:r>
        <w:rPr>
          <w:rFonts w:ascii="Arial" w:hAnsi="Arial" w:eastAsia="宋体" w:cs="Arial"/>
          <w:b/>
          <w:sz w:val="24"/>
          <w:szCs w:val="24"/>
          <w:lang w:eastAsia="zh-CN"/>
        </w:rPr>
        <w:t>,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6"/>
        <w:tabs>
          <w:tab w:val="left" w:pos="1800"/>
          <w:tab w:val="left" w:pos="3825"/>
          <w:tab w:val="clear" w:pos="4536"/>
          <w:tab w:val="clear" w:pos="9072"/>
        </w:tabs>
        <w:spacing w:after="60"/>
        <w:ind w:left="482" w:hanging="482" w:hangingChars="20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RRM aspects of R19 Low band carrier aggregation </w:t>
      </w:r>
    </w:p>
    <w:p>
      <w:pPr>
        <w:pStyle w:val="16"/>
        <w:tabs>
          <w:tab w:val="left" w:pos="1800"/>
          <w:tab w:val="left" w:pos="3825"/>
          <w:tab w:val="clear" w:pos="4536"/>
          <w:tab w:val="clear" w:pos="9072"/>
        </w:tabs>
        <w:spacing w:after="60"/>
        <w:ind w:leftChars="900"/>
        <w:jc w:val="both"/>
        <w:rPr>
          <w:rFonts w:hint="default" w:eastAsia="宋体"/>
          <w:color w:val="auto"/>
          <w:sz w:val="24"/>
          <w:lang w:val="en-US" w:eastAsia="zh-CN"/>
        </w:rPr>
      </w:pPr>
      <w:r>
        <w:rPr>
          <w:rFonts w:hint="eastAsia" w:eastAsia="宋体"/>
          <w:color w:val="auto"/>
          <w:sz w:val="24"/>
          <w:lang w:val="en-US" w:eastAsia="zh-CN"/>
        </w:rPr>
        <w:t>via switching</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7.8.3</w:t>
      </w:r>
      <w:bookmarkStart w:id="2" w:name="_GoBack"/>
      <w:bookmarkEnd w:id="2"/>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latest RAN#106 meeting, a new R19 WID of Low band carrier aggregation via switching was approved in [1] and led by RAN4. The objectives of this new WID are captured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4"/>
              <w:pageBreakBefore w:val="0"/>
              <w:widowControl w:val="0"/>
              <w:kinsoku/>
              <w:wordWrap/>
              <w:overflowPunct/>
              <w:topLinePunct w:val="0"/>
              <w:autoSpaceDE/>
              <w:autoSpaceDN/>
              <w:bidi w:val="0"/>
              <w:adjustRightInd/>
              <w:snapToGrid/>
              <w:spacing w:before="0" w:after="0" w:line="240" w:lineRule="auto"/>
              <w:jc w:val="both"/>
              <w:textAlignment w:val="auto"/>
              <w:rPr>
                <w:color w:val="0000FF"/>
              </w:rPr>
            </w:pPr>
            <w:r>
              <w:rPr>
                <w:color w:val="0000FF"/>
              </w:rPr>
              <w:t>4.1</w:t>
            </w:r>
            <w:r>
              <w:rPr>
                <w:color w:val="0000FF"/>
              </w:rPr>
              <w:tab/>
            </w:r>
            <w:r>
              <w:rPr>
                <w:color w:val="0000FF"/>
              </w:rPr>
              <w:t>Objective of SI or Core part WI or Testing part WI</w:t>
            </w:r>
          </w:p>
          <w:p>
            <w:pPr>
              <w:pageBreakBefore w:val="0"/>
              <w:kinsoku/>
              <w:wordWrap/>
              <w:overflowPunct/>
              <w:topLinePunct w:val="0"/>
              <w:autoSpaceDE/>
              <w:autoSpaceDN/>
              <w:bidi w:val="0"/>
              <w:adjustRightInd/>
              <w:snapToGrid/>
              <w:spacing w:line="240" w:lineRule="auto"/>
              <w:textAlignment w:val="auto"/>
              <w:rPr>
                <w:bCs/>
              </w:rPr>
            </w:pPr>
            <w:r>
              <w:rPr>
                <w:bCs/>
              </w:rPr>
              <w:t>Introduce physical layer procedures and requirements to enable low band carrier aggregation via switching according to the following objectives:</w:t>
            </w:r>
          </w:p>
          <w:p>
            <w:pPr>
              <w:pStyle w:val="32"/>
              <w:pageBreakBefore w:val="0"/>
              <w:kinsoku/>
              <w:wordWrap/>
              <w:overflowPunct/>
              <w:topLinePunct w:val="0"/>
              <w:autoSpaceDE/>
              <w:autoSpaceDN/>
              <w:bidi w:val="0"/>
              <w:adjustRightInd/>
              <w:snapToGrid/>
              <w:spacing w:line="240" w:lineRule="auto"/>
              <w:textAlignment w:val="auto"/>
              <w:rPr>
                <w:lang w:val="en-US"/>
              </w:rPr>
            </w:pPr>
            <w:r>
              <w:rPr>
                <w:bCs/>
              </w:rPr>
              <w:t>-</w:t>
            </w:r>
            <w:r>
              <w:rPr>
                <w:bCs/>
              </w:rPr>
              <w:tab/>
            </w:r>
            <w:r>
              <w:t>Specify UE requirements, including at least switching gap (if needed), and corresponding physical layer procedures to allow switching between {case 1, case 2} [RAN4, RAN1]</w:t>
            </w:r>
          </w:p>
          <w:p>
            <w:pPr>
              <w:pStyle w:val="60"/>
              <w:pageBreakBefore w:val="0"/>
              <w:numPr>
                <w:ilvl w:val="0"/>
                <w:numId w:val="0"/>
              </w:numPr>
              <w:kinsoku/>
              <w:wordWrap/>
              <w:overflowPunct/>
              <w:topLinePunct w:val="0"/>
              <w:autoSpaceDE/>
              <w:autoSpaceDN/>
              <w:bidi w:val="0"/>
              <w:adjustRightInd/>
              <w:snapToGrid/>
              <w:spacing w:line="240" w:lineRule="auto"/>
              <w:ind w:leftChars="300"/>
              <w:textAlignment w:val="auto"/>
              <w:rPr>
                <w:highlight w:val="none"/>
              </w:rPr>
            </w:pPr>
            <w:r>
              <w:t>-</w:t>
            </w:r>
            <w:r>
              <w:tab/>
            </w:r>
            <w:r>
              <w:t>Case</w:t>
            </w:r>
            <w:r>
              <w:rPr>
                <w:highlight w:val="none"/>
              </w:rPr>
              <w:t xml:space="preserve"> 1: Tx/Rx on FDD carrier 1 and no Rx on SDL carrier 2</w:t>
            </w:r>
          </w:p>
          <w:p>
            <w:pPr>
              <w:pStyle w:val="60"/>
              <w:pageBreakBefore w:val="0"/>
              <w:numPr>
                <w:ilvl w:val="0"/>
                <w:numId w:val="0"/>
              </w:numPr>
              <w:kinsoku/>
              <w:wordWrap/>
              <w:overflowPunct/>
              <w:topLinePunct w:val="0"/>
              <w:autoSpaceDE/>
              <w:autoSpaceDN/>
              <w:bidi w:val="0"/>
              <w:adjustRightInd/>
              <w:snapToGrid/>
              <w:spacing w:line="240" w:lineRule="auto"/>
              <w:ind w:leftChars="300"/>
              <w:textAlignment w:val="auto"/>
              <w:rPr>
                <w:highlight w:val="none"/>
              </w:rPr>
            </w:pPr>
            <w:r>
              <w:rPr>
                <w:highlight w:val="none"/>
              </w:rPr>
              <w:t>-</w:t>
            </w:r>
            <w:r>
              <w:rPr>
                <w:highlight w:val="none"/>
              </w:rPr>
              <w:tab/>
            </w:r>
            <w:r>
              <w:rPr>
                <w:highlight w:val="none"/>
              </w:rPr>
              <w:t>Case 2: Rx on SDL carrier 2 and no Tx/Rx on FDD carrier 1</w:t>
            </w:r>
          </w:p>
          <w:p>
            <w:pPr>
              <w:pStyle w:val="60"/>
              <w:pageBreakBefore w:val="0"/>
              <w:numPr>
                <w:ilvl w:val="0"/>
                <w:numId w:val="0"/>
              </w:numPr>
              <w:kinsoku/>
              <w:wordWrap/>
              <w:overflowPunct/>
              <w:topLinePunct w:val="0"/>
              <w:autoSpaceDE/>
              <w:autoSpaceDN/>
              <w:bidi w:val="0"/>
              <w:adjustRightInd/>
              <w:snapToGrid/>
              <w:spacing w:line="240" w:lineRule="auto"/>
              <w:ind w:leftChars="300"/>
              <w:textAlignment w:val="auto"/>
              <w:rPr>
                <w:highlight w:val="none"/>
              </w:rPr>
            </w:pPr>
            <w:r>
              <w:rPr>
                <w:highlight w:val="none"/>
              </w:rPr>
              <w:t>-</w:t>
            </w:r>
            <w:r>
              <w:rPr>
                <w:highlight w:val="none"/>
              </w:rPr>
              <w:tab/>
            </w:r>
            <w:r>
              <w:rPr>
                <w:highlight w:val="none"/>
              </w:rPr>
              <w:t>RAN1 to specify only a semi-static switching pattern based on RRC configuration, liaising with RAN2 and RAN4 as necessary</w:t>
            </w:r>
          </w:p>
          <w:p>
            <w:pPr>
              <w:pStyle w:val="60"/>
              <w:pageBreakBefore w:val="0"/>
              <w:numPr>
                <w:ilvl w:val="0"/>
                <w:numId w:val="0"/>
              </w:numPr>
              <w:kinsoku/>
              <w:wordWrap/>
              <w:overflowPunct/>
              <w:topLinePunct w:val="0"/>
              <w:autoSpaceDE/>
              <w:autoSpaceDN/>
              <w:bidi w:val="0"/>
              <w:adjustRightInd/>
              <w:snapToGrid/>
              <w:spacing w:line="240" w:lineRule="auto"/>
              <w:ind w:leftChars="300"/>
              <w:textAlignment w:val="auto"/>
              <w:rPr>
                <w:highlight w:val="none"/>
              </w:rPr>
            </w:pPr>
            <w:r>
              <w:rPr>
                <w:highlight w:val="none"/>
              </w:rPr>
              <w:t>-</w:t>
            </w:r>
            <w:r>
              <w:rPr>
                <w:highlight w:val="none"/>
              </w:rPr>
              <w:tab/>
            </w:r>
            <w:r>
              <w:rPr>
                <w:highlight w:val="none"/>
              </w:rPr>
              <w:t>Specify the switching delay and time mask for carrier switching [RAN4]</w:t>
            </w:r>
          </w:p>
          <w:p>
            <w:pPr>
              <w:pStyle w:val="32"/>
              <w:pageBreakBefore w:val="0"/>
              <w:kinsoku/>
              <w:wordWrap/>
              <w:overflowPunct/>
              <w:topLinePunct w:val="0"/>
              <w:autoSpaceDE/>
              <w:autoSpaceDN/>
              <w:bidi w:val="0"/>
              <w:adjustRightInd/>
              <w:snapToGrid/>
              <w:spacing w:line="240" w:lineRule="auto"/>
              <w:textAlignment w:val="auto"/>
              <w:rPr>
                <w:highlight w:val="none"/>
              </w:rPr>
            </w:pPr>
            <w:r>
              <w:rPr>
                <w:highlight w:val="none"/>
              </w:rPr>
              <w:t>-</w:t>
            </w:r>
            <w:r>
              <w:rPr>
                <w:highlight w:val="none"/>
              </w:rPr>
              <w:tab/>
            </w:r>
            <w:r>
              <w:rPr>
                <w:highlight w:val="none"/>
              </w:rPr>
              <w:t>Specify necessary RRM requirements [RAN4]</w:t>
            </w:r>
          </w:p>
          <w:p>
            <w:pPr>
              <w:pStyle w:val="32"/>
              <w:pageBreakBefore w:val="0"/>
              <w:kinsoku/>
              <w:wordWrap/>
              <w:overflowPunct/>
              <w:topLinePunct w:val="0"/>
              <w:autoSpaceDE/>
              <w:autoSpaceDN/>
              <w:bidi w:val="0"/>
              <w:adjustRightInd/>
              <w:snapToGrid/>
              <w:spacing w:line="240" w:lineRule="auto"/>
              <w:textAlignment w:val="auto"/>
              <w:rPr>
                <w:highlight w:val="none"/>
              </w:rPr>
            </w:pPr>
            <w:r>
              <w:rPr>
                <w:highlight w:val="none"/>
              </w:rPr>
              <w:t>-</w:t>
            </w:r>
            <w:r>
              <w:rPr>
                <w:highlight w:val="none"/>
              </w:rPr>
              <w:tab/>
            </w:r>
            <w:r>
              <w:rPr>
                <w:highlight w:val="none"/>
              </w:rPr>
              <w:t>Define the corresponding UE capabilities [RAN4, RAN2, RAN1]</w:t>
            </w:r>
          </w:p>
          <w:p>
            <w:pPr>
              <w:pStyle w:val="32"/>
              <w:pageBreakBefore w:val="0"/>
              <w:kinsoku/>
              <w:wordWrap/>
              <w:overflowPunct/>
              <w:topLinePunct w:val="0"/>
              <w:autoSpaceDE/>
              <w:autoSpaceDN/>
              <w:bidi w:val="0"/>
              <w:adjustRightInd/>
              <w:snapToGrid/>
              <w:spacing w:line="240" w:lineRule="auto"/>
              <w:textAlignment w:val="auto"/>
              <w:rPr>
                <w:highlight w:val="none"/>
              </w:rPr>
            </w:pPr>
            <w:r>
              <w:rPr>
                <w:highlight w:val="none"/>
              </w:rPr>
              <w:t>-</w:t>
            </w:r>
            <w:r>
              <w:rPr>
                <w:highlight w:val="none"/>
              </w:rPr>
              <w:tab/>
            </w:r>
            <w:r>
              <w:rPr>
                <w:highlight w:val="none"/>
              </w:rPr>
              <w:t>Consider the following deployment constraints:</w:t>
            </w:r>
          </w:p>
          <w:p>
            <w:pPr>
              <w:pStyle w:val="60"/>
              <w:pageBreakBefore w:val="0"/>
              <w:numPr>
                <w:ilvl w:val="0"/>
                <w:numId w:val="0"/>
              </w:numPr>
              <w:kinsoku/>
              <w:wordWrap/>
              <w:overflowPunct/>
              <w:topLinePunct w:val="0"/>
              <w:autoSpaceDE/>
              <w:autoSpaceDN/>
              <w:bidi w:val="0"/>
              <w:adjustRightInd/>
              <w:snapToGrid/>
              <w:spacing w:line="240" w:lineRule="auto"/>
              <w:ind w:leftChars="300"/>
              <w:textAlignment w:val="auto"/>
              <w:rPr>
                <w:highlight w:val="none"/>
              </w:rPr>
            </w:pPr>
            <w:r>
              <w:rPr>
                <w:highlight w:val="none"/>
              </w:rPr>
              <w:t>-</w:t>
            </w:r>
            <w:r>
              <w:rPr>
                <w:highlight w:val="none"/>
              </w:rPr>
              <w:tab/>
            </w:r>
            <w:r>
              <w:rPr>
                <w:highlight w:val="none"/>
              </w:rPr>
              <w:t>The carrier frequency for all cases is &lt;1 GHz</w:t>
            </w:r>
          </w:p>
          <w:p>
            <w:pPr>
              <w:pStyle w:val="60"/>
              <w:pageBreakBefore w:val="0"/>
              <w:numPr>
                <w:ilvl w:val="0"/>
                <w:numId w:val="0"/>
              </w:numPr>
              <w:kinsoku/>
              <w:wordWrap/>
              <w:overflowPunct/>
              <w:topLinePunct w:val="0"/>
              <w:autoSpaceDE/>
              <w:autoSpaceDN/>
              <w:bidi w:val="0"/>
              <w:adjustRightInd/>
              <w:snapToGrid/>
              <w:spacing w:line="240" w:lineRule="auto"/>
              <w:ind w:leftChars="300"/>
              <w:textAlignment w:val="auto"/>
              <w:rPr>
                <w:rFonts w:hint="default" w:eastAsia="宋体"/>
                <w:highlight w:val="none"/>
                <w:lang w:val="en-US" w:eastAsia="zh-CN"/>
              </w:rPr>
            </w:pPr>
            <w:r>
              <w:rPr>
                <w:highlight w:val="none"/>
              </w:rPr>
              <w:t>-</w:t>
            </w:r>
            <w:r>
              <w:rPr>
                <w:highlight w:val="none"/>
              </w:rPr>
              <w:tab/>
            </w:r>
            <w:r>
              <w:rPr>
                <w:highlight w:val="none"/>
              </w:rPr>
              <w:t>Co-located and synchronized network deployment for both carriers</w:t>
            </w:r>
          </w:p>
          <w:p>
            <w:pPr>
              <w:pStyle w:val="60"/>
              <w:pageBreakBefore w:val="0"/>
              <w:numPr>
                <w:ilvl w:val="0"/>
                <w:numId w:val="0"/>
              </w:numPr>
              <w:kinsoku/>
              <w:wordWrap/>
              <w:overflowPunct/>
              <w:topLinePunct w:val="0"/>
              <w:autoSpaceDE/>
              <w:autoSpaceDN/>
              <w:bidi w:val="0"/>
              <w:adjustRightInd/>
              <w:snapToGrid/>
              <w:spacing w:line="240" w:lineRule="auto"/>
              <w:ind w:leftChars="300"/>
              <w:textAlignment w:val="auto"/>
              <w:rPr>
                <w:rFonts w:hint="default" w:eastAsiaTheme="minorEastAsia"/>
                <w:highlight w:val="none"/>
                <w:lang w:val="en-US" w:eastAsia="zh-CN"/>
              </w:rPr>
            </w:pPr>
            <w:r>
              <w:rPr>
                <w:highlight w:val="none"/>
              </w:rPr>
              <w:t>-</w:t>
            </w:r>
            <w:r>
              <w:rPr>
                <w:highlight w:val="none"/>
              </w:rPr>
              <w:tab/>
            </w:r>
            <w:r>
              <w:rPr>
                <w:highlight w:val="none"/>
              </w:rPr>
              <w:t>Both carriers are in a single TAG</w:t>
            </w:r>
            <w:r>
              <w:rPr>
                <w:rFonts w:hint="eastAsia"/>
                <w:highlight w:val="none"/>
                <w:lang w:val="en-US" w:eastAsia="zh-CN"/>
              </w:rPr>
              <w:t xml:space="preserve">  </w:t>
            </w:r>
          </w:p>
          <w:p>
            <w:pPr>
              <w:pStyle w:val="60"/>
              <w:pageBreakBefore w:val="0"/>
              <w:numPr>
                <w:ilvl w:val="0"/>
                <w:numId w:val="0"/>
              </w:numPr>
              <w:kinsoku/>
              <w:wordWrap/>
              <w:overflowPunct/>
              <w:topLinePunct w:val="0"/>
              <w:autoSpaceDE/>
              <w:autoSpaceDN/>
              <w:bidi w:val="0"/>
              <w:adjustRightInd/>
              <w:snapToGrid/>
              <w:spacing w:line="240" w:lineRule="auto"/>
              <w:ind w:leftChars="300"/>
              <w:textAlignment w:val="auto"/>
              <w:rPr>
                <w:highlight w:val="none"/>
              </w:rPr>
            </w:pPr>
            <w:r>
              <w:rPr>
                <w:highlight w:val="none"/>
              </w:rPr>
              <w:t>-</w:t>
            </w:r>
            <w:r>
              <w:rPr>
                <w:highlight w:val="none"/>
              </w:rPr>
              <w:tab/>
            </w:r>
            <w:r>
              <w:rPr>
                <w:highlight w:val="none"/>
              </w:rPr>
              <w:t>SCS 15KHz on both carriers</w:t>
            </w:r>
          </w:p>
          <w:p>
            <w:pPr>
              <w:pStyle w:val="32"/>
              <w:pageBreakBefore w:val="0"/>
              <w:kinsoku/>
              <w:wordWrap/>
              <w:overflowPunct/>
              <w:topLinePunct w:val="0"/>
              <w:autoSpaceDE/>
              <w:autoSpaceDN/>
              <w:bidi w:val="0"/>
              <w:adjustRightInd/>
              <w:snapToGrid/>
              <w:spacing w:line="240" w:lineRule="auto"/>
              <w:textAlignment w:val="auto"/>
              <w:rPr>
                <w:rFonts w:hint="default" w:eastAsia="宋体"/>
                <w:highlight w:val="none"/>
                <w:lang w:val="en-US" w:eastAsia="zh-CN"/>
              </w:rPr>
            </w:pPr>
            <w:r>
              <w:rPr>
                <w:highlight w:val="none"/>
              </w:rPr>
              <w:t>Note 1: Specify requirements for the feature with the following example band combination: CA_n5A-n29A in this WI, with additional band combinations to be handled via the basket work item approach</w:t>
            </w:r>
            <w:r>
              <w:rPr>
                <w:rFonts w:hint="eastAsia"/>
                <w:highlight w:val="none"/>
                <w:lang w:val="en-US" w:eastAsia="zh-CN"/>
              </w:rPr>
              <w:t xml:space="preserve"> </w:t>
            </w:r>
          </w:p>
          <w:p>
            <w:pPr>
              <w:pStyle w:val="32"/>
              <w:pageBreakBefore w:val="0"/>
              <w:kinsoku/>
              <w:wordWrap/>
              <w:overflowPunct/>
              <w:topLinePunct w:val="0"/>
              <w:autoSpaceDE/>
              <w:autoSpaceDN/>
              <w:bidi w:val="0"/>
              <w:adjustRightInd/>
              <w:snapToGrid/>
              <w:spacing w:line="240" w:lineRule="auto"/>
              <w:textAlignment w:val="auto"/>
              <w:rPr>
                <w:bCs/>
              </w:rPr>
            </w:pPr>
            <w:r>
              <w:t>Note 2: Strive to minimize the RAN1 impact</w:t>
            </w:r>
          </w:p>
          <w:p>
            <w:pPr>
              <w:pStyle w:val="4"/>
              <w:pageBreakBefore w:val="0"/>
              <w:widowControl w:val="0"/>
              <w:kinsoku/>
              <w:wordWrap/>
              <w:overflowPunct/>
              <w:topLinePunct w:val="0"/>
              <w:autoSpaceDE/>
              <w:autoSpaceDN/>
              <w:bidi w:val="0"/>
              <w:adjustRightInd/>
              <w:snapToGrid/>
              <w:spacing w:before="0" w:after="0" w:line="240" w:lineRule="auto"/>
              <w:jc w:val="both"/>
              <w:textAlignment w:val="auto"/>
              <w:rPr>
                <w:color w:val="0000FF"/>
              </w:rPr>
            </w:pPr>
            <w:r>
              <w:rPr>
                <w:color w:val="0000FF"/>
              </w:rPr>
              <w:t>4.2</w:t>
            </w:r>
            <w:r>
              <w:rPr>
                <w:color w:val="0000FF"/>
              </w:rPr>
              <w:tab/>
            </w:r>
            <w:r>
              <w:rPr>
                <w:color w:val="0000FF"/>
              </w:rPr>
              <w:t>Objective of Performance part WI</w:t>
            </w:r>
          </w:p>
          <w:p>
            <w:pPr>
              <w:pStyle w:val="32"/>
              <w:pageBreakBefore w:val="0"/>
              <w:kinsoku/>
              <w:wordWrap/>
              <w:overflowPunct/>
              <w:topLinePunct w:val="0"/>
              <w:autoSpaceDE/>
              <w:autoSpaceDN/>
              <w:bidi w:val="0"/>
              <w:adjustRightInd/>
              <w:snapToGrid/>
              <w:spacing w:line="240" w:lineRule="auto"/>
              <w:textAlignment w:val="auto"/>
              <w:rPr>
                <w:rFonts w:hint="default"/>
                <w:vertAlign w:val="baseline"/>
                <w:lang w:val="en-US" w:eastAsia="zh-CN"/>
              </w:rPr>
            </w:pPr>
            <w:r>
              <w:t>-</w:t>
            </w:r>
            <w:r>
              <w:tab/>
            </w:r>
            <w:r>
              <w:t>Specify RRM test cases</w:t>
            </w:r>
          </w:p>
        </w:tc>
      </w:tr>
    </w:tbl>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This WID intends to support some low bands CA through Rx switching between FDD band and SDL band such as n5+n29. Due to their separation in frequency, the two bands are both low bands but can not covered by common Rx antenna simultaneously. Although such band combinations are already specified in TS38.101-1, this practical implementation challenge may pose a barrier for the combination</w:t>
      </w:r>
      <w:r>
        <w:rPr>
          <w:rFonts w:hint="default" w:cs="Arial"/>
          <w:lang w:val="en-US" w:eastAsia="zh-CN"/>
        </w:rPr>
        <w:t>’</w:t>
      </w:r>
      <w:r>
        <w:rPr>
          <w:rFonts w:hint="eastAsia" w:cs="Arial"/>
          <w:lang w:val="en-US" w:eastAsia="zh-CN"/>
        </w:rPr>
        <w:t>s adoption in a wide range of devices. As a result the solution of Rx switching between the two bands is necessary to facilitate CA with such band combinations.</w:t>
      </w:r>
    </w:p>
    <w:p>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According the time budget of this WID, the discussion on RRM aspects would kick off in this meeting, we provide our overall analysis on this new WID in this paper.</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lang w:val="en-US" w:eastAsia="zh-CN"/>
        </w:rPr>
      </w:pPr>
      <w:r>
        <w:rPr>
          <w:rFonts w:hint="eastAsia"/>
          <w:lang w:val="en-US" w:eastAsia="zh-CN"/>
        </w:rPr>
        <w:t>2.1 Potential band combinations for low band CA</w:t>
      </w:r>
    </w:p>
    <w:p>
      <w:pPr>
        <w:pStyle w:val="10"/>
        <w:bidi w:val="0"/>
        <w:rPr>
          <w:rFonts w:hint="eastAsia"/>
          <w:lang w:val="en-US" w:eastAsia="zh-CN"/>
        </w:rPr>
      </w:pPr>
      <w:r>
        <w:rPr>
          <w:rFonts w:hint="eastAsia"/>
          <w:lang w:val="en-US" w:eastAsia="zh-CN"/>
        </w:rPr>
        <w:t>As it is noted in the WID, to support the low band CA through switching, specify requirements for the feature with the example band combination CA_n5A-n29A, and with additional band combinations to be handled via the basket work item approach. So before diving into the RRM aspect analysis, it is necessary to overview all the potential band combinations for such low band CA. The following band combinations are proposed as potential scenarios to facilitate the deployment of low band CA through switching solution in [2]:</w:t>
      </w:r>
    </w:p>
    <w:p>
      <w:pPr>
        <w:pStyle w:val="10"/>
        <w:bidi w:val="0"/>
      </w:pPr>
      <w:r>
        <w:drawing>
          <wp:inline distT="0" distB="0" distL="114300" distR="114300">
            <wp:extent cx="5901690" cy="2653665"/>
            <wp:effectExtent l="0" t="0" r="3810" b="1333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5"/>
                    <a:stretch>
                      <a:fillRect/>
                    </a:stretch>
                  </pic:blipFill>
                  <pic:spPr>
                    <a:xfrm>
                      <a:off x="0" y="0"/>
                      <a:ext cx="5901924" cy="2653937"/>
                    </a:xfrm>
                    <a:prstGeom prst="rect">
                      <a:avLst/>
                    </a:prstGeom>
                  </pic:spPr>
                </pic:pic>
              </a:graphicData>
            </a:graphic>
          </wp:inline>
        </w:drawing>
      </w:r>
    </w:p>
    <w:p>
      <w:pPr>
        <w:pStyle w:val="10"/>
        <w:bidi w:val="0"/>
        <w:rPr>
          <w:rFonts w:hint="default"/>
          <w:lang w:val="en-US" w:eastAsia="zh-CN"/>
        </w:rPr>
      </w:pPr>
      <w:r>
        <w:drawing>
          <wp:inline distT="0" distB="0" distL="114300" distR="114300">
            <wp:extent cx="5756910" cy="2691765"/>
            <wp:effectExtent l="0" t="0" r="15240" b="1333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6"/>
                    <a:stretch>
                      <a:fillRect/>
                    </a:stretch>
                  </pic:blipFill>
                  <pic:spPr>
                    <a:xfrm>
                      <a:off x="0" y="0"/>
                      <a:ext cx="5757031" cy="2692037"/>
                    </a:xfrm>
                    <a:prstGeom prst="rect">
                      <a:avLst/>
                    </a:prstGeom>
                  </pic:spPr>
                </pic:pic>
              </a:graphicData>
            </a:graphic>
          </wp:inline>
        </w:drawing>
      </w:r>
    </w:p>
    <w:p>
      <w:pPr>
        <w:pStyle w:val="10"/>
        <w:bidi w:val="0"/>
        <w:rPr>
          <w:rFonts w:hint="eastAsia"/>
          <w:lang w:val="en-US" w:eastAsia="zh-CN"/>
        </w:rPr>
      </w:pPr>
      <w:r>
        <w:rPr>
          <w:rFonts w:hint="eastAsia"/>
          <w:lang w:val="en-US" w:eastAsia="zh-CN"/>
        </w:rPr>
        <w:t>Within all these band combinations, it can be seen that in some of them, the frequency separation between the two bands is not very large, such as the whole frequency ranges is not larger than 100 MHz, from the perspective of UE antenna, actually the common antenna could be shared between the two bands simultaneously, but due to too close in frequency between the UL carrier of the FDD band and the DL carrier of the SDL band, it is hard for the duplexer to accommodate such band combination, therefore the solution of switching is necessary. For other cases, due to large frequency separation between the two bands, switching solution is needed as well. Based on these analysis, we can categorize all these potential band combinations into following types:</w:t>
      </w:r>
    </w:p>
    <w:p>
      <w:pPr>
        <w:numPr>
          <w:ilvl w:val="0"/>
          <w:numId w:val="5"/>
        </w:numPr>
        <w:ind w:left="420" w:leftChars="0" w:hanging="420" w:firstLineChars="0"/>
        <w:rPr>
          <w:rFonts w:hint="default"/>
          <w:lang w:val="en-US" w:eastAsia="zh-CN"/>
        </w:rPr>
      </w:pPr>
      <w:r>
        <w:rPr>
          <w:rFonts w:hint="eastAsia"/>
          <w:lang w:val="en-US" w:eastAsia="zh-CN"/>
        </w:rPr>
        <w:t>Type 1: The whole frequency ranges is not larger than 100MHz</w:t>
      </w:r>
      <w:r>
        <w:rPr>
          <w:rFonts w:hint="eastAsia"/>
          <w:color w:val="FF0000"/>
          <w:lang w:val="en-US" w:eastAsia="zh-CN"/>
        </w:rPr>
        <w:t xml:space="preserve"> </w:t>
      </w:r>
    </w:p>
    <w:p>
      <w:pPr>
        <w:numPr>
          <w:ilvl w:val="0"/>
          <w:numId w:val="6"/>
        </w:numPr>
        <w:ind w:left="840" w:leftChars="0" w:hanging="420" w:firstLineChars="0"/>
        <w:rPr>
          <w:rFonts w:hint="default"/>
          <w:lang w:val="en-US" w:eastAsia="zh-CN"/>
        </w:rPr>
      </w:pPr>
      <w:r>
        <w:rPr>
          <w:rFonts w:hint="eastAsia"/>
          <w:lang w:val="en-US" w:eastAsia="zh-CN"/>
        </w:rPr>
        <w:t xml:space="preserve">SDL+FDD: CA_n12A-n29A, CA_n28A-n67A, CA_n14A-n29A    </w:t>
      </w:r>
    </w:p>
    <w:p>
      <w:pPr>
        <w:numPr>
          <w:ilvl w:val="0"/>
          <w:numId w:val="6"/>
        </w:numPr>
        <w:ind w:left="840" w:leftChars="0" w:hanging="420" w:firstLineChars="0"/>
        <w:rPr>
          <w:rFonts w:hint="default"/>
          <w:lang w:val="en-US" w:eastAsia="zh-CN"/>
        </w:rPr>
      </w:pPr>
      <w:r>
        <w:rPr>
          <w:rFonts w:hint="eastAsia"/>
          <w:lang w:val="en-US" w:eastAsia="zh-CN"/>
        </w:rPr>
        <w:t>FDD+FDD: Null</w:t>
      </w:r>
    </w:p>
    <w:p>
      <w:pPr>
        <w:numPr>
          <w:ilvl w:val="0"/>
          <w:numId w:val="5"/>
        </w:numPr>
        <w:ind w:left="420" w:leftChars="0" w:hanging="420" w:firstLineChars="0"/>
        <w:rPr>
          <w:rFonts w:hint="default"/>
          <w:lang w:val="en-US" w:eastAsia="zh-CN"/>
        </w:rPr>
      </w:pPr>
      <w:r>
        <w:rPr>
          <w:rFonts w:hint="eastAsia"/>
          <w:lang w:val="en-US" w:eastAsia="zh-CN"/>
        </w:rPr>
        <w:t xml:space="preserve">Type 2: The whole frequency ranges is larger than 100MHz </w:t>
      </w:r>
      <w:r>
        <w:rPr>
          <w:rFonts w:hint="eastAsia"/>
          <w:color w:val="FF0000"/>
          <w:lang w:val="en-US" w:eastAsia="zh-CN"/>
        </w:rPr>
        <w:t xml:space="preserve"> </w:t>
      </w:r>
    </w:p>
    <w:p>
      <w:pPr>
        <w:numPr>
          <w:ilvl w:val="0"/>
          <w:numId w:val="6"/>
        </w:numPr>
        <w:ind w:left="840" w:leftChars="0" w:hanging="420" w:firstLineChars="0"/>
        <w:rPr>
          <w:rFonts w:hint="default"/>
          <w:lang w:val="en-US" w:eastAsia="zh-CN"/>
        </w:rPr>
      </w:pPr>
      <w:r>
        <w:rPr>
          <w:rFonts w:hint="eastAsia"/>
          <w:lang w:val="en-US" w:eastAsia="zh-CN"/>
        </w:rPr>
        <w:t xml:space="preserve">SDL+FDD: CA_n5A-n29A, CA_n29A-n71A </w:t>
      </w:r>
    </w:p>
    <w:p>
      <w:pPr>
        <w:numPr>
          <w:ilvl w:val="0"/>
          <w:numId w:val="6"/>
        </w:numPr>
        <w:ind w:left="840" w:leftChars="0" w:hanging="420" w:firstLineChars="0"/>
        <w:rPr>
          <w:rFonts w:hint="default"/>
          <w:lang w:val="en-US" w:eastAsia="zh-CN"/>
        </w:rPr>
      </w:pPr>
      <w:r>
        <w:rPr>
          <w:rFonts w:hint="eastAsia"/>
          <w:lang w:val="en-US" w:eastAsia="zh-CN"/>
        </w:rPr>
        <w:t>FDD+FDD: CA_n26A-n106A</w:t>
      </w:r>
    </w:p>
    <w:p>
      <w:pPr>
        <w:pStyle w:val="10"/>
        <w:bidi w:val="0"/>
        <w:rPr>
          <w:rFonts w:hint="eastAsia"/>
          <w:b/>
          <w:bCs/>
          <w:lang w:val="en-US" w:eastAsia="zh-CN"/>
        </w:rPr>
      </w:pPr>
      <w:r>
        <w:rPr>
          <w:rFonts w:hint="eastAsia"/>
          <w:b/>
          <w:bCs/>
          <w:lang w:val="en-US" w:eastAsia="zh-CN"/>
        </w:rPr>
        <w:t>Proposal 1: Categorize all potential band combinations of low band CA into two types:</w:t>
      </w:r>
    </w:p>
    <w:p>
      <w:pPr>
        <w:pStyle w:val="10"/>
        <w:numPr>
          <w:ilvl w:val="0"/>
          <w:numId w:val="0"/>
        </w:numPr>
        <w:bidi w:val="0"/>
        <w:ind w:leftChars="100"/>
        <w:rPr>
          <w:rFonts w:hint="eastAsia"/>
          <w:b/>
          <w:bCs/>
          <w:lang w:val="en-US" w:eastAsia="zh-CN"/>
        </w:rPr>
      </w:pPr>
      <w:r>
        <w:rPr>
          <w:rFonts w:hint="eastAsia"/>
          <w:b/>
          <w:bCs/>
          <w:lang w:val="en-US" w:eastAsia="zh-CN"/>
        </w:rPr>
        <w:t>- Type 1: The whole frequency ranges of low band CA is not larger than 100MHz</w:t>
      </w:r>
    </w:p>
    <w:p>
      <w:pPr>
        <w:pStyle w:val="10"/>
        <w:numPr>
          <w:ilvl w:val="0"/>
          <w:numId w:val="0"/>
        </w:numPr>
        <w:bidi w:val="0"/>
        <w:ind w:leftChars="100"/>
        <w:rPr>
          <w:rFonts w:hint="default"/>
          <w:b/>
          <w:bCs/>
          <w:lang w:val="en-US" w:eastAsia="zh-CN"/>
        </w:rPr>
      </w:pPr>
      <w:r>
        <w:rPr>
          <w:rFonts w:hint="eastAsia"/>
          <w:b/>
          <w:bCs/>
          <w:lang w:val="en-US" w:eastAsia="zh-CN"/>
        </w:rPr>
        <w:t>- Type 2: The whole frequency ranges of low band CA is larger than 100MHz</w:t>
      </w:r>
    </w:p>
    <w:p>
      <w:pPr>
        <w:rPr>
          <w:rFonts w:hint="default" w:ascii="Arial" w:hAnsi="Arial" w:eastAsia="MS Mincho" w:cs="Times New Roman"/>
          <w:b/>
          <w:bCs/>
          <w:szCs w:val="24"/>
          <w:lang w:val="en-US" w:eastAsia="zh-CN" w:bidi="ar-SA"/>
        </w:rPr>
      </w:pPr>
      <w:r>
        <w:rPr>
          <w:rFonts w:hint="eastAsia" w:ascii="Arial" w:hAnsi="Arial" w:eastAsia="MS Mincho" w:cs="Times New Roman"/>
          <w:b/>
          <w:bCs/>
          <w:szCs w:val="24"/>
          <w:lang w:val="en-US" w:eastAsia="zh-CN" w:bidi="ar-SA"/>
        </w:rPr>
        <w:t xml:space="preserve">The switching solution is necessary for Type 1 as restricted by the duplexer. The switching solution is necessary for Type 2 </w:t>
      </w:r>
      <w:r>
        <w:rPr>
          <w:rFonts w:hint="eastAsia" w:eastAsia="MS Mincho" w:cs="Times New Roman"/>
          <w:b/>
          <w:bCs/>
          <w:szCs w:val="24"/>
          <w:lang w:val="en-US" w:eastAsia="zh-CN" w:bidi="ar-SA"/>
        </w:rPr>
        <w:t xml:space="preserve">as well </w:t>
      </w:r>
      <w:r>
        <w:rPr>
          <w:rFonts w:hint="eastAsia" w:ascii="Arial" w:hAnsi="Arial" w:eastAsia="MS Mincho" w:cs="Times New Roman"/>
          <w:b/>
          <w:bCs/>
          <w:szCs w:val="24"/>
          <w:lang w:val="en-US" w:eastAsia="zh-CN" w:bidi="ar-SA"/>
        </w:rPr>
        <w:t>since common antenna of UE incapable of cover</w:t>
      </w:r>
      <w:r>
        <w:rPr>
          <w:rFonts w:hint="eastAsia" w:eastAsia="MS Mincho" w:cs="Times New Roman"/>
          <w:b/>
          <w:bCs/>
          <w:szCs w:val="24"/>
          <w:lang w:val="en-US" w:eastAsia="zh-CN" w:bidi="ar-SA"/>
        </w:rPr>
        <w:t>ing</w:t>
      </w:r>
      <w:r>
        <w:rPr>
          <w:rFonts w:hint="eastAsia" w:ascii="Arial" w:hAnsi="Arial" w:eastAsia="MS Mincho" w:cs="Times New Roman"/>
          <w:b/>
          <w:bCs/>
          <w:szCs w:val="24"/>
          <w:lang w:val="en-US" w:eastAsia="zh-CN" w:bidi="ar-SA"/>
        </w:rPr>
        <w:t xml:space="preserve"> the two bands simultaneously.</w:t>
      </w:r>
    </w:p>
    <w:p>
      <w:pPr>
        <w:pStyle w:val="3"/>
        <w:bidi w:val="0"/>
        <w:rPr>
          <w:rFonts w:hint="default"/>
          <w:lang w:val="en-US" w:eastAsia="zh-CN"/>
        </w:rPr>
      </w:pPr>
      <w:r>
        <w:rPr>
          <w:rFonts w:hint="eastAsia"/>
          <w:lang w:val="en-US" w:eastAsia="zh-CN"/>
        </w:rPr>
        <w:t>2.2 RRM impact analysis</w:t>
      </w:r>
    </w:p>
    <w:p>
      <w:pPr>
        <w:rPr>
          <w:rFonts w:hint="default"/>
          <w:lang w:val="en-US" w:eastAsia="zh-CN"/>
        </w:rPr>
      </w:pPr>
    </w:p>
    <w:p>
      <w:pPr>
        <w:pStyle w:val="10"/>
        <w:bidi w:val="0"/>
        <w:rPr>
          <w:rFonts w:hint="eastAsia"/>
          <w:lang w:val="en-US" w:eastAsia="zh-CN"/>
        </w:rPr>
      </w:pPr>
      <w:r>
        <w:rPr>
          <w:rFonts w:hint="eastAsia"/>
          <w:lang w:val="en-US" w:eastAsia="zh-CN"/>
        </w:rPr>
        <w:t xml:space="preserve">It has been decided that a semi-static switching pattern based on RRC configuration would be applied to allow such switching solution between the two low bands. So the switching pattern similar as TDD pattern would be introduced. One essential issue is that whether interruption/gap is needed when the switching happens, which should be firstly identified. </w:t>
      </w:r>
    </w:p>
    <w:p>
      <w:pPr>
        <w:pStyle w:val="10"/>
        <w:bidi w:val="0"/>
        <w:rPr>
          <w:rFonts w:hint="eastAsia"/>
          <w:lang w:val="en-US" w:eastAsia="zh-CN"/>
        </w:rPr>
      </w:pPr>
      <w:r>
        <w:rPr>
          <w:rFonts w:hint="eastAsia"/>
          <w:lang w:val="en-US" w:eastAsia="zh-CN"/>
        </w:rPr>
        <w:t>Based on our category in last section, for the combinations of Type 2, due to antenna re-tuning between the two bands, interruption is needed between the 1st band occupation period and 2nd band occupation period, and such interruption could be specified as special gap pattern as shown in Figure 1.</w:t>
      </w:r>
    </w:p>
    <w:p>
      <w:pPr>
        <w:pStyle w:val="10"/>
        <w:bidi w:val="0"/>
        <w:jc w:val="center"/>
        <w:rPr>
          <w:rFonts w:hint="eastAsia"/>
          <w:lang w:val="en-US" w:eastAsia="zh-CN"/>
        </w:rPr>
      </w:pPr>
      <w:r>
        <w:rPr>
          <w:rFonts w:hint="eastAsia"/>
          <w:lang w:val="en-US" w:eastAsia="zh-CN"/>
        </w:rPr>
        <w:drawing>
          <wp:inline distT="0" distB="0" distL="114300" distR="114300">
            <wp:extent cx="3181350" cy="7810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7"/>
                    <a:stretch>
                      <a:fillRect/>
                    </a:stretch>
                  </pic:blipFill>
                  <pic:spPr>
                    <a:xfrm>
                      <a:off x="0" y="0"/>
                      <a:ext cx="3181350" cy="781050"/>
                    </a:xfrm>
                    <a:prstGeom prst="rect">
                      <a:avLst/>
                    </a:prstGeom>
                    <a:noFill/>
                    <a:ln>
                      <a:noFill/>
                    </a:ln>
                  </pic:spPr>
                </pic:pic>
              </a:graphicData>
            </a:graphic>
          </wp:inline>
        </w:drawing>
      </w:r>
    </w:p>
    <w:p>
      <w:pPr>
        <w:pStyle w:val="10"/>
        <w:bidi w:val="0"/>
        <w:jc w:val="center"/>
        <w:rPr>
          <w:rFonts w:hint="default"/>
          <w:lang w:val="en-US" w:eastAsia="zh-CN"/>
        </w:rPr>
      </w:pPr>
      <w:r>
        <w:rPr>
          <w:rFonts w:hint="eastAsia"/>
          <w:lang w:val="en-US" w:eastAsia="zh-CN"/>
        </w:rPr>
        <w:t>Figure 1. with interruption/gap between switching</w:t>
      </w:r>
    </w:p>
    <w:p>
      <w:pPr>
        <w:pStyle w:val="10"/>
        <w:bidi w:val="0"/>
        <w:rPr>
          <w:rFonts w:hint="eastAsia"/>
          <w:lang w:val="en-US" w:eastAsia="zh-CN"/>
        </w:rPr>
      </w:pPr>
      <w:r>
        <w:rPr>
          <w:rFonts w:hint="eastAsia"/>
          <w:lang w:val="en-US" w:eastAsia="zh-CN"/>
        </w:rPr>
        <w:t>While for the combinations of Type 1, it seems no antenna switching is involved in since the whole bandwidth is not too large, actually the antenna could cover the two bands at the meanwhile. The Rx switching is caused by the incapability of duplexer. So during the switching, only the duplexer on/off is needed, it seems no interruption/gap would be caused to. The switching is shown as Figure 2.</w:t>
      </w:r>
    </w:p>
    <w:p>
      <w:pPr>
        <w:pStyle w:val="10"/>
        <w:bidi w:val="0"/>
        <w:jc w:val="center"/>
        <w:rPr>
          <w:rFonts w:hint="eastAsia"/>
          <w:lang w:val="en-US" w:eastAsia="zh-CN"/>
        </w:rPr>
      </w:pPr>
      <w:r>
        <w:rPr>
          <w:rFonts w:hint="eastAsia"/>
          <w:lang w:val="en-US" w:eastAsia="zh-CN"/>
        </w:rPr>
        <w:drawing>
          <wp:inline distT="0" distB="0" distL="114300" distR="114300">
            <wp:extent cx="3181350" cy="523875"/>
            <wp:effectExtent l="0" t="0" r="0" b="952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8"/>
                    <a:stretch>
                      <a:fillRect/>
                    </a:stretch>
                  </pic:blipFill>
                  <pic:spPr>
                    <a:xfrm>
                      <a:off x="0" y="0"/>
                      <a:ext cx="3181350" cy="523875"/>
                    </a:xfrm>
                    <a:prstGeom prst="rect">
                      <a:avLst/>
                    </a:prstGeom>
                    <a:noFill/>
                    <a:ln>
                      <a:noFill/>
                    </a:ln>
                  </pic:spPr>
                </pic:pic>
              </a:graphicData>
            </a:graphic>
          </wp:inline>
        </w:drawing>
      </w:r>
    </w:p>
    <w:p>
      <w:pPr>
        <w:pStyle w:val="10"/>
        <w:bidi w:val="0"/>
        <w:jc w:val="center"/>
        <w:rPr>
          <w:rFonts w:hint="default"/>
          <w:lang w:val="en-US" w:eastAsia="zh-CN"/>
        </w:rPr>
      </w:pPr>
      <w:r>
        <w:rPr>
          <w:rFonts w:hint="eastAsia"/>
          <w:lang w:val="en-US" w:eastAsia="zh-CN"/>
        </w:rPr>
        <w:t>Figure 2. without interruption/gap between switching</w:t>
      </w:r>
    </w:p>
    <w:p>
      <w:pPr>
        <w:pStyle w:val="10"/>
        <w:bidi w:val="0"/>
        <w:rPr>
          <w:rFonts w:hint="eastAsia"/>
          <w:b/>
          <w:bCs/>
          <w:lang w:val="en-US" w:eastAsia="zh-CN"/>
        </w:rPr>
      </w:pPr>
      <w:r>
        <w:rPr>
          <w:rFonts w:hint="eastAsia"/>
          <w:b/>
          <w:bCs/>
          <w:lang w:val="en-US" w:eastAsia="zh-CN"/>
        </w:rPr>
        <w:t xml:space="preserve">Proposal 2: Whether the interruption/gap is caused by the switching between the two bands of low band CA should be identified. </w:t>
      </w:r>
    </w:p>
    <w:p>
      <w:pPr>
        <w:pStyle w:val="10"/>
        <w:bidi w:val="0"/>
        <w:rPr>
          <w:rFonts w:hint="eastAsia"/>
          <w:lang w:val="en-US" w:eastAsia="zh-CN"/>
        </w:rPr>
      </w:pPr>
      <w:r>
        <w:rPr>
          <w:rFonts w:hint="eastAsia"/>
          <w:lang w:val="en-US" w:eastAsia="zh-CN"/>
        </w:rPr>
        <w:t>Besides the interruption/gap discussion between the switching, we believe the following RRM aspects should be identified for such switching solution based low band CA and our analysis are provided around these aspects:</w:t>
      </w:r>
    </w:p>
    <w:p>
      <w:pPr>
        <w:pStyle w:val="10"/>
        <w:numPr>
          <w:ilvl w:val="0"/>
          <w:numId w:val="7"/>
        </w:numPr>
        <w:bidi w:val="0"/>
        <w:ind w:left="420" w:leftChars="0" w:hanging="420" w:firstLineChars="0"/>
        <w:rPr>
          <w:rFonts w:hint="default"/>
          <w:lang w:val="en-US" w:eastAsia="zh-CN"/>
        </w:rPr>
      </w:pPr>
      <w:r>
        <w:rPr>
          <w:rFonts w:hint="eastAsia"/>
          <w:lang w:val="en-US" w:eastAsia="zh-CN"/>
        </w:rPr>
        <w:t>RTD between the two low bands</w:t>
      </w:r>
    </w:p>
    <w:p>
      <w:pPr>
        <w:pStyle w:val="10"/>
        <w:numPr>
          <w:ilvl w:val="0"/>
          <w:numId w:val="7"/>
        </w:numPr>
        <w:bidi w:val="0"/>
        <w:ind w:left="420" w:leftChars="0" w:hanging="420" w:firstLineChars="0"/>
        <w:rPr>
          <w:rFonts w:hint="default"/>
          <w:lang w:val="en-US" w:eastAsia="zh-CN"/>
        </w:rPr>
      </w:pPr>
      <w:r>
        <w:rPr>
          <w:rFonts w:hint="eastAsia"/>
          <w:lang w:val="en-US" w:eastAsia="zh-CN"/>
        </w:rPr>
        <w:t>UL timing between the two low bands</w:t>
      </w:r>
    </w:p>
    <w:p>
      <w:pPr>
        <w:pStyle w:val="10"/>
        <w:numPr>
          <w:ilvl w:val="0"/>
          <w:numId w:val="7"/>
        </w:numPr>
        <w:bidi w:val="0"/>
        <w:ind w:left="420" w:leftChars="0" w:hanging="420" w:firstLineChars="0"/>
        <w:rPr>
          <w:rFonts w:hint="default"/>
          <w:lang w:val="en-US" w:eastAsia="zh-CN"/>
        </w:rPr>
      </w:pPr>
      <w:r>
        <w:rPr>
          <w:rFonts w:hint="eastAsia"/>
          <w:lang w:val="en-US" w:eastAsia="zh-CN"/>
        </w:rPr>
        <w:t>DL timing between the two low bands</w:t>
      </w:r>
    </w:p>
    <w:p>
      <w:pPr>
        <w:pStyle w:val="10"/>
        <w:numPr>
          <w:ilvl w:val="0"/>
          <w:numId w:val="7"/>
        </w:numPr>
        <w:bidi w:val="0"/>
        <w:ind w:left="420" w:leftChars="0" w:hanging="420" w:firstLineChars="0"/>
        <w:rPr>
          <w:rFonts w:hint="default"/>
          <w:lang w:val="en-US" w:eastAsia="zh-CN"/>
        </w:rPr>
      </w:pPr>
      <w:r>
        <w:rPr>
          <w:rFonts w:hint="eastAsia"/>
          <w:lang w:val="en-US" w:eastAsia="zh-CN"/>
        </w:rPr>
        <w:t>UE procedures for the switching</w:t>
      </w:r>
    </w:p>
    <w:p>
      <w:pPr>
        <w:pStyle w:val="10"/>
        <w:numPr>
          <w:ilvl w:val="0"/>
          <w:numId w:val="7"/>
        </w:numPr>
        <w:bidi w:val="0"/>
        <w:ind w:left="420" w:leftChars="0" w:hanging="420" w:firstLineChars="0"/>
        <w:rPr>
          <w:rFonts w:hint="default"/>
          <w:lang w:val="en-US" w:eastAsia="zh-CN"/>
        </w:rPr>
      </w:pPr>
      <w:r>
        <w:rPr>
          <w:rFonts w:hint="eastAsia"/>
          <w:lang w:val="en-US" w:eastAsia="zh-CN"/>
        </w:rPr>
        <w:t>Impact on RRM measurements</w:t>
      </w:r>
    </w:p>
    <w:p>
      <w:pPr>
        <w:pStyle w:val="10"/>
        <w:numPr>
          <w:ilvl w:val="0"/>
          <w:numId w:val="0"/>
        </w:numPr>
        <w:bidi w:val="0"/>
        <w:ind w:leftChars="0"/>
        <w:rPr>
          <w:rFonts w:hint="eastAsia"/>
          <w:u w:val="single"/>
          <w:lang w:val="en-US" w:eastAsia="zh-CN"/>
        </w:rPr>
      </w:pPr>
      <w:r>
        <w:rPr>
          <w:rFonts w:hint="eastAsia"/>
          <w:u w:val="single"/>
          <w:lang w:val="en-US" w:eastAsia="zh-CN"/>
        </w:rPr>
        <w:t>RTD between the two low bands</w:t>
      </w:r>
    </w:p>
    <w:p>
      <w:pPr>
        <w:pStyle w:val="10"/>
        <w:bidi w:val="0"/>
        <w:rPr>
          <w:rFonts w:hint="eastAsia"/>
          <w:lang w:val="en-US" w:eastAsia="zh-CN"/>
        </w:rPr>
      </w:pPr>
      <w:r>
        <w:rPr>
          <w:rFonts w:hint="eastAsia"/>
          <w:lang w:val="en-US" w:eastAsia="zh-CN"/>
        </w:rPr>
        <w:t>It is clarified that the low band CA focuses on the co-located and single TAG deployment, it seems the two bands could reach DL synchronization, similar as the inter-band SSB-less deployment, the RTD between the two bands is not larger the CP of 15kHz(BS TAE dominates the RTD).</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7"/>
        <w:gridCol w:w="1632"/>
        <w:gridCol w:w="1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7" w:type="dxa"/>
          </w:tcPr>
          <w:p>
            <w:pPr>
              <w:spacing w:after="120"/>
              <w:jc w:val="both"/>
              <w:rPr>
                <w:rFonts w:hint="default" w:eastAsia="宋体" w:asciiTheme="minorHAnsi" w:hAnsiTheme="minorHAnsi" w:cstheme="minorHAnsi"/>
                <w:iCs/>
                <w:color w:val="auto"/>
                <w:szCs w:val="20"/>
                <w:vertAlign w:val="baseline"/>
                <w:lang w:val="en-US" w:eastAsia="zh-CN"/>
              </w:rPr>
            </w:pPr>
            <w:r>
              <w:rPr>
                <w:rFonts w:hint="eastAsia" w:asciiTheme="minorHAnsi" w:hAnsiTheme="minorHAnsi" w:cstheme="minorHAnsi"/>
                <w:iCs/>
                <w:color w:val="auto"/>
                <w:szCs w:val="20"/>
                <w:vertAlign w:val="baseline"/>
                <w:lang w:val="en-US" w:eastAsia="zh-CN"/>
              </w:rPr>
              <w:t>Case</w:t>
            </w:r>
          </w:p>
        </w:tc>
        <w:tc>
          <w:tcPr>
            <w:tcW w:w="1632" w:type="dxa"/>
          </w:tcPr>
          <w:p>
            <w:pPr>
              <w:spacing w:after="120"/>
              <w:jc w:val="both"/>
              <w:rPr>
                <w:rFonts w:hint="default" w:eastAsia="宋体" w:asciiTheme="minorHAnsi" w:hAnsiTheme="minorHAnsi" w:cstheme="minorHAnsi"/>
                <w:iCs/>
                <w:color w:val="auto"/>
                <w:szCs w:val="20"/>
                <w:vertAlign w:val="baseline"/>
                <w:lang w:val="en-US" w:eastAsia="zh-CN"/>
              </w:rPr>
            </w:pPr>
            <w:r>
              <w:rPr>
                <w:rFonts w:hint="eastAsia" w:eastAsia="宋体" w:asciiTheme="minorHAnsi" w:hAnsiTheme="minorHAnsi" w:cstheme="minorHAnsi"/>
                <w:iCs/>
                <w:color w:val="auto"/>
                <w:szCs w:val="20"/>
                <w:vertAlign w:val="baseline"/>
                <w:lang w:val="en-US" w:eastAsia="zh-CN"/>
              </w:rPr>
              <w:t>BS TAE</w:t>
            </w:r>
          </w:p>
        </w:tc>
        <w:tc>
          <w:tcPr>
            <w:tcW w:w="1632" w:type="dxa"/>
          </w:tcPr>
          <w:p>
            <w:pPr>
              <w:spacing w:after="120"/>
              <w:jc w:val="both"/>
              <w:rPr>
                <w:rFonts w:hint="default" w:asciiTheme="minorHAnsi" w:hAnsiTheme="minorHAnsi" w:cstheme="minorHAnsi"/>
                <w:iCs/>
                <w:color w:val="auto"/>
                <w:szCs w:val="20"/>
                <w:vertAlign w:val="baseline"/>
                <w:lang w:val="en-US" w:eastAsia="zh-CN"/>
              </w:rPr>
            </w:pPr>
            <w:r>
              <w:rPr>
                <w:rFonts w:hint="eastAsia" w:asciiTheme="minorHAnsi" w:hAnsiTheme="minorHAnsi" w:cstheme="minorHAnsi"/>
                <w:iCs/>
                <w:color w:val="auto"/>
                <w:szCs w:val="20"/>
                <w:vertAlign w:val="baseline"/>
                <w:lang w:val="en-US" w:eastAsia="zh-CN"/>
              </w:rPr>
              <w:t>CP @15kHz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837" w:type="dxa"/>
          </w:tcPr>
          <w:p>
            <w:pPr>
              <w:spacing w:after="120"/>
              <w:jc w:val="both"/>
              <w:rPr>
                <w:rFonts w:hint="default" w:eastAsia="宋体" w:asciiTheme="minorHAnsi" w:hAnsiTheme="minorHAnsi" w:cstheme="minorHAnsi"/>
                <w:iCs/>
                <w:color w:val="auto"/>
                <w:szCs w:val="20"/>
                <w:vertAlign w:val="baseline"/>
                <w:lang w:val="en-US" w:eastAsia="zh-CN"/>
              </w:rPr>
            </w:pPr>
            <w:r>
              <w:rPr>
                <w:rFonts w:hint="eastAsia" w:eastAsia="宋体" w:asciiTheme="minorHAnsi" w:hAnsiTheme="minorHAnsi" w:cstheme="minorHAnsi"/>
                <w:iCs/>
                <w:color w:val="auto"/>
                <w:szCs w:val="20"/>
                <w:vertAlign w:val="baseline"/>
                <w:lang w:val="en-US" w:eastAsia="zh-CN"/>
              </w:rPr>
              <w:t>Inter-band CA</w:t>
            </w:r>
          </w:p>
        </w:tc>
        <w:tc>
          <w:tcPr>
            <w:tcW w:w="1632" w:type="dxa"/>
          </w:tcPr>
          <w:p>
            <w:pPr>
              <w:spacing w:after="120"/>
              <w:jc w:val="both"/>
              <w:rPr>
                <w:rFonts w:hint="default" w:eastAsia="宋体" w:asciiTheme="minorHAnsi" w:hAnsiTheme="minorHAnsi" w:cstheme="minorHAnsi"/>
                <w:iCs/>
                <w:color w:val="auto"/>
                <w:szCs w:val="20"/>
                <w:vertAlign w:val="baseline"/>
                <w:lang w:val="en-US" w:eastAsia="zh-CN"/>
              </w:rPr>
            </w:pPr>
            <w:r>
              <w:rPr>
                <w:rFonts w:hint="eastAsia" w:eastAsia="宋体" w:asciiTheme="minorHAnsi" w:hAnsiTheme="minorHAnsi" w:cstheme="minorHAnsi"/>
                <w:iCs/>
                <w:color w:val="auto"/>
                <w:szCs w:val="20"/>
                <w:vertAlign w:val="baseline"/>
                <w:lang w:val="en-US" w:eastAsia="zh-CN"/>
              </w:rPr>
              <w:t>3 µs</w:t>
            </w:r>
          </w:p>
        </w:tc>
        <w:tc>
          <w:tcPr>
            <w:tcW w:w="1632" w:type="dxa"/>
          </w:tcPr>
          <w:p>
            <w:pPr>
              <w:spacing w:after="120"/>
              <w:jc w:val="both"/>
              <w:rPr>
                <w:rFonts w:hint="eastAsia" w:eastAsia="宋体" w:asciiTheme="minorHAnsi" w:hAnsiTheme="minorHAnsi" w:cstheme="minorHAnsi"/>
                <w:iCs/>
                <w:color w:val="auto"/>
                <w:szCs w:val="20"/>
                <w:vertAlign w:val="baseline"/>
                <w:lang w:val="en-US" w:eastAsia="zh-CN"/>
              </w:rPr>
            </w:pPr>
            <w:r>
              <w:rPr>
                <w:rFonts w:hint="eastAsia" w:eastAsia="宋体" w:asciiTheme="minorHAnsi" w:hAnsiTheme="minorHAnsi" w:cstheme="minorHAnsi"/>
                <w:iCs/>
                <w:color w:val="auto"/>
                <w:szCs w:val="20"/>
                <w:vertAlign w:val="baseline"/>
                <w:lang w:val="en-US" w:eastAsia="zh-CN"/>
              </w:rPr>
              <w:t>4.7µs</w:t>
            </w:r>
          </w:p>
        </w:tc>
      </w:tr>
    </w:tbl>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u w:val="single"/>
          <w:lang w:val="en-US" w:eastAsia="zh-CN"/>
        </w:rPr>
      </w:pPr>
      <w:r>
        <w:rPr>
          <w:rFonts w:hint="eastAsia"/>
          <w:b/>
          <w:bCs/>
          <w:lang w:val="en-US" w:eastAsia="zh-CN"/>
        </w:rPr>
        <w:t>Proposal 3: The RTD between the two low bands is not larger than CP.</w:t>
      </w:r>
    </w:p>
    <w:p>
      <w:pPr>
        <w:pStyle w:val="10"/>
        <w:numPr>
          <w:ilvl w:val="0"/>
          <w:numId w:val="0"/>
        </w:numPr>
        <w:bidi w:val="0"/>
        <w:ind w:leftChars="0"/>
        <w:rPr>
          <w:rFonts w:hint="eastAsia"/>
          <w:u w:val="single"/>
          <w:lang w:val="en-US" w:eastAsia="zh-CN"/>
        </w:rPr>
      </w:pPr>
      <w:r>
        <w:rPr>
          <w:rFonts w:hint="eastAsia"/>
          <w:u w:val="single"/>
          <w:lang w:val="en-US" w:eastAsia="zh-CN"/>
        </w:rPr>
        <w:t>UL timing between the two low bands</w:t>
      </w:r>
    </w:p>
    <w:p>
      <w:pPr>
        <w:pStyle w:val="10"/>
        <w:bidi w:val="0"/>
        <w:rPr>
          <w:rFonts w:hint="default"/>
          <w:lang w:val="en-US" w:eastAsia="zh-CN"/>
        </w:rPr>
      </w:pPr>
      <w:r>
        <w:rPr>
          <w:rFonts w:hint="eastAsia"/>
          <w:lang w:val="en-US" w:eastAsia="zh-CN"/>
        </w:rPr>
        <w:t>UE can initiate RACH to achieve UL syn at either band but only one TAG is maintained for the FDD plus FDD band combination. For the FDD plus SDL band combination, since no UL demand at SDL band, the UL timing is only utilized for the FDD band. So it seems not any enhancement relevant to UL timing for the two low band CA.</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lang w:val="en-US" w:eastAsia="zh-CN"/>
        </w:rPr>
      </w:pPr>
      <w:r>
        <w:rPr>
          <w:rFonts w:hint="eastAsia"/>
          <w:b/>
          <w:bCs/>
          <w:lang w:val="en-US" w:eastAsia="zh-CN"/>
        </w:rPr>
        <w:t xml:space="preserve">Proposal 4: No additional enhancement is needed for UL timing. </w:t>
      </w:r>
    </w:p>
    <w:p>
      <w:pPr>
        <w:pStyle w:val="10"/>
        <w:numPr>
          <w:ilvl w:val="0"/>
          <w:numId w:val="0"/>
        </w:numPr>
        <w:bidi w:val="0"/>
        <w:ind w:leftChars="0"/>
        <w:rPr>
          <w:rFonts w:hint="eastAsia"/>
          <w:u w:val="single"/>
          <w:lang w:val="en-US" w:eastAsia="zh-CN"/>
        </w:rPr>
      </w:pPr>
      <w:r>
        <w:rPr>
          <w:rFonts w:hint="eastAsia"/>
          <w:u w:val="single"/>
          <w:lang w:val="en-US" w:eastAsia="zh-CN"/>
        </w:rPr>
        <w:t>DL timing between the two low bands</w:t>
      </w:r>
    </w:p>
    <w:p>
      <w:pPr>
        <w:pStyle w:val="10"/>
        <w:bidi w:val="0"/>
        <w:rPr>
          <w:rFonts w:hint="eastAsia"/>
          <w:lang w:val="en-US" w:eastAsia="zh-CN"/>
        </w:rPr>
      </w:pPr>
      <w:r>
        <w:rPr>
          <w:rFonts w:hint="eastAsia"/>
          <w:lang w:val="en-US" w:eastAsia="zh-CN"/>
        </w:rPr>
        <w:t xml:space="preserve">Based on specification in clause 7.1.1 in 38.133 as below, the reference cell used for providing DL frame could only be the SpCell for pTAG. So for the FDD plus SDL band combination, the FDD cell(PCell) is the reference cell.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3"/>
              <w:spacing w:line="240" w:lineRule="auto"/>
            </w:pPr>
            <w:bookmarkStart w:id="0" w:name="_Toc535475927"/>
            <w:r>
              <w:t>7.1</w:t>
            </w:r>
            <w:r>
              <w:tab/>
            </w:r>
            <w:r>
              <w:t>UE transmit timing</w:t>
            </w:r>
            <w:bookmarkEnd w:id="0"/>
          </w:p>
          <w:p>
            <w:pPr>
              <w:pStyle w:val="4"/>
              <w:spacing w:line="240" w:lineRule="auto"/>
            </w:pPr>
            <w:bookmarkStart w:id="1" w:name="_Toc535475928"/>
            <w:r>
              <w:t>7.1.1</w:t>
            </w:r>
            <w:r>
              <w:tab/>
            </w:r>
            <w:r>
              <w:t>Introduction</w:t>
            </w:r>
            <w:bookmarkEnd w:id="1"/>
          </w:p>
          <w:p>
            <w:pPr>
              <w:spacing w:line="240" w:lineRule="auto"/>
              <w:rPr>
                <w:rFonts w:hint="default" w:eastAsia="宋体"/>
                <w:color w:val="0000FF"/>
                <w:sz w:val="15"/>
                <w:szCs w:val="15"/>
                <w:lang w:val="en-US" w:eastAsia="zh-CN"/>
              </w:rPr>
            </w:pPr>
            <w:r>
              <w:rPr>
                <w:rFonts w:cs="v4.2.0"/>
              </w:rPr>
              <w:t xml:space="preserve">The UE shall have capability to follow the frame timing change of the </w:t>
            </w:r>
            <w:r>
              <w:rPr>
                <w:highlight w:val="yellow"/>
              </w:rPr>
              <w:t>reference cell</w:t>
            </w:r>
            <w:r>
              <w:rPr>
                <w:rFonts w:cs="v4.2.0"/>
              </w:rPr>
              <w:t xml:space="preserve"> in connected </w:t>
            </w:r>
            <w:r>
              <w:t>state or when transmiting PUSCH on CG resources for SDT in RRC_Inactive</w:t>
            </w:r>
            <w:r>
              <w:rPr>
                <w:rFonts w:cs="v4.2.0"/>
              </w:rPr>
              <w:t>. The uplink frame transmission takes place</w:t>
            </w:r>
            <w:r>
              <w:rPr>
                <w:rFonts w:cs="v4.2.0"/>
                <w:vertAlign w:val="subscript"/>
              </w:rPr>
              <w:t xml:space="preserve"> </w:t>
            </w:r>
            <w:r>
              <w:rPr>
                <w:position w:val="-10"/>
              </w:rPr>
              <w:object>
                <v:shape id="_x0000_i1025" o:spt="75" type="#_x0000_t75" style="height:11.5pt;width:87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cs="v4.2.0"/>
              </w:rPr>
              <w:t xml:space="preserve"> before the reception of the first detected path (in time) of the </w:t>
            </w:r>
            <w:r>
              <w:rPr>
                <w:rFonts w:cs="v4.2.0"/>
                <w:highlight w:val="yellow"/>
              </w:rPr>
              <w:t>corresponding downlink frame</w:t>
            </w:r>
            <w:r>
              <w:rPr>
                <w:highlight w:val="yellow"/>
              </w:rPr>
              <w:t xml:space="preserve"> from the reference cell</w:t>
            </w:r>
            <w:r>
              <w:t xml:space="preserve">. For </w:t>
            </w:r>
            <w:r>
              <w:rPr>
                <w:lang w:eastAsia="ja-JP"/>
              </w:rPr>
              <w:t xml:space="preserve">serving cell(s) in </w:t>
            </w:r>
            <w:r>
              <w:rPr>
                <w:rFonts w:hint="eastAsia"/>
                <w:lang w:eastAsia="zh-CN"/>
              </w:rPr>
              <w:t>p</w:t>
            </w:r>
            <w:r>
              <w:t>TAG,</w:t>
            </w:r>
            <w:r>
              <w:rPr>
                <w:rFonts w:cs="v4.2.0"/>
              </w:rPr>
              <w:t xml:space="preserve"> </w:t>
            </w:r>
            <w:r>
              <w:t>UE shall use the SpCell as the reference cell for deriving the UE transmit timing for cells in the</w:t>
            </w:r>
            <w:r>
              <w:rPr>
                <w:highlight w:val="yellow"/>
              </w:rPr>
              <w:t xml:space="preserve"> </w:t>
            </w:r>
            <w:r>
              <w:rPr>
                <w:rFonts w:hint="eastAsia"/>
                <w:highlight w:val="yellow"/>
                <w:lang w:eastAsia="zh-CN"/>
              </w:rPr>
              <w:t>p</w:t>
            </w:r>
            <w:r>
              <w:rPr>
                <w:highlight w:val="yellow"/>
              </w:rPr>
              <w:t>TAG</w:t>
            </w:r>
            <w:r>
              <w:t xml:space="preserve">. </w:t>
            </w:r>
            <w:r>
              <w:rPr>
                <w:lang w:eastAsia="ja-JP"/>
              </w:rPr>
              <w:t xml:space="preserve">For serving cell(s) in </w:t>
            </w:r>
            <w:r>
              <w:rPr>
                <w:rFonts w:hint="eastAsia"/>
                <w:highlight w:val="yellow"/>
                <w:lang w:eastAsia="zh-CN"/>
              </w:rPr>
              <w:t>s</w:t>
            </w:r>
            <w:r>
              <w:rPr>
                <w:highlight w:val="yellow"/>
                <w:lang w:eastAsia="ja-JP"/>
              </w:rPr>
              <w:t>TAG</w:t>
            </w:r>
            <w:r>
              <w:rPr>
                <w:lang w:eastAsia="ja-JP"/>
              </w:rPr>
              <w:t xml:space="preserve">, </w:t>
            </w:r>
            <w:r>
              <w:t xml:space="preserve">UE shall use any of the </w:t>
            </w:r>
            <w:r>
              <w:rPr>
                <w:lang w:eastAsia="ja-JP"/>
              </w:rPr>
              <w:t xml:space="preserve">activated SCells </w:t>
            </w:r>
            <w:r>
              <w:t xml:space="preserve">as the reference cell for deriving the UE transmit timing for </w:t>
            </w:r>
            <w:r>
              <w:rPr>
                <w:lang w:eastAsia="ja-JP"/>
              </w:rPr>
              <w:t xml:space="preserve">the </w:t>
            </w:r>
            <w:r>
              <w:t xml:space="preserve">cells in the </w:t>
            </w:r>
            <w:r>
              <w:rPr>
                <w:rFonts w:hint="eastAsia"/>
                <w:lang w:eastAsia="zh-CN"/>
              </w:rPr>
              <w:t>s</w:t>
            </w:r>
            <w:r>
              <w:t xml:space="preserve">TAG. </w:t>
            </w:r>
            <w:r>
              <w:rPr>
                <w:rFonts w:cs="v4.2.0"/>
              </w:rPr>
              <w:t>UE initial transmit timing accuracy</w:t>
            </w:r>
            <w:r>
              <w:rPr>
                <w:rFonts w:hint="eastAsia" w:cs="v4.2.0"/>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hint="eastAsia" w:eastAsia="宋体" w:cs="v4.2.0"/>
                <w:lang w:val="en-US" w:eastAsia="zh-CN"/>
              </w:rPr>
              <w:t xml:space="preserve"> </w:t>
            </w:r>
          </w:p>
          <w:p>
            <w:pPr>
              <w:spacing w:line="240" w:lineRule="auto"/>
              <w:rPr>
                <w:rFonts w:hint="eastAsia" w:eastAsia="宋体"/>
                <w:lang w:val="en-US" w:eastAsia="zh-CN"/>
              </w:rPr>
            </w:pPr>
            <w:r>
              <w:rPr>
                <w:rFonts w:hint="eastAsia" w:eastAsia="宋体"/>
                <w:lang w:val="en-US" w:eastAsia="zh-CN"/>
              </w:rPr>
              <w:t>...</w:t>
            </w:r>
          </w:p>
          <w:p>
            <w:pPr>
              <w:pStyle w:val="4"/>
              <w:spacing w:line="240" w:lineRule="auto"/>
            </w:pPr>
            <w:r>
              <w:t>7.1.2</w:t>
            </w:r>
            <w:r>
              <w:tab/>
            </w:r>
            <w:r>
              <w:t>Requirements</w:t>
            </w:r>
          </w:p>
          <w:p>
            <w:pPr>
              <w:widowControl w:val="0"/>
              <w:numPr>
                <w:ilvl w:val="0"/>
                <w:numId w:val="0"/>
              </w:numPr>
              <w:spacing w:line="240" w:lineRule="auto"/>
              <w:jc w:val="both"/>
              <w:rPr>
                <w:rFonts w:hint="eastAsia" w:eastAsia="宋体"/>
                <w:lang w:val="en-US" w:eastAsia="zh-CN"/>
              </w:rPr>
            </w:pPr>
            <w:r>
              <w:rPr>
                <w:rFonts w:hint="eastAsia" w:eastAsia="宋体"/>
                <w:lang w:val="en-US" w:eastAsia="zh-CN"/>
              </w:rPr>
              <w:t>...</w:t>
            </w:r>
          </w:p>
          <w:p>
            <w:pPr>
              <w:spacing w:line="240" w:lineRule="auto"/>
              <w:rPr>
                <w:rFonts w:cs="v4.2.0"/>
              </w:rPr>
            </w:pPr>
            <w:r>
              <w:rPr>
                <w:rFonts w:cs="v4.2.0"/>
                <w:highlight w:val="none"/>
              </w:rPr>
              <w:t xml:space="preserve">When the UL SCS is 120 kHz or smaller, the UE shall meet the Te requirement for an initial transmission provided that at least one SSB is available at the UE during the last 160 ms. </w:t>
            </w:r>
            <w:r>
              <w:rPr>
                <w:rFonts w:cs="v4.2.0"/>
              </w:rPr>
              <w:t xml:space="preserve">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pPr>
              <w:spacing w:line="240" w:lineRule="auto"/>
              <w:rPr>
                <w:rFonts w:hint="eastAsia" w:eastAsia="宋体"/>
                <w:highlight w:val="none"/>
                <w:lang w:val="en-US" w:eastAsia="zh-CN"/>
              </w:rPr>
            </w:pPr>
            <w:r>
              <w:rPr>
                <w:rFonts w:cs="v4.2.0"/>
              </w:rPr>
              <w:t>The reference point for the UE initial transmit timing control requirement shall be the</w:t>
            </w:r>
            <w:r>
              <w:rPr>
                <w:rFonts w:cs="v4.2.0"/>
                <w:highlight w:val="yellow"/>
              </w:rPr>
              <w:t xml:space="preserve"> downlink timing of the reference cell</w:t>
            </w:r>
            <w:r>
              <w:rPr>
                <w:rFonts w:cs="v4.2.0"/>
              </w:rPr>
              <w:t xml:space="preserve"> minus </w:t>
            </w:r>
            <m:oMath>
              <m:d>
                <m:dPr>
                  <m:ctrlPr>
                    <w:rPr>
                      <w:rFonts w:ascii="Cambria Math" w:hAnsi="Cambria Math"/>
                      <w:i/>
                    </w:rPr>
                  </m:ctrlPr>
                </m:dPr>
                <m:e>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ctrlPr>
                    <w:rPr>
                      <w:rFonts w:ascii="Cambria Math" w:hAnsi="Cambria Math"/>
                      <w:i/>
                    </w:rPr>
                  </m:ctrlPr>
                </m:e>
              </m:d>
              <m:r>
                <m:rPr/>
                <w:rPr>
                  <w:rFonts w:ascii="Cambria Math"/>
                </w:rPr>
                <m:t>×</m:t>
              </m:r>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c</m:t>
                  </m:r>
                  <m:ctrlPr>
                    <w:rPr>
                      <w:rFonts w:ascii="Cambria Math" w:hAnsi="Cambria Math"/>
                      <w:i/>
                    </w:rPr>
                  </m:ctrlPr>
                </m:sub>
              </m:sSub>
            </m:oMath>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pPr>
              <w:widowControl w:val="0"/>
              <w:numPr>
                <w:ilvl w:val="0"/>
                <w:numId w:val="0"/>
              </w:numPr>
              <w:spacing w:line="240" w:lineRule="auto"/>
              <w:jc w:val="both"/>
              <w:rPr>
                <w:rFonts w:hint="default" w:eastAsia="宋体"/>
                <w:lang w:val="en-US" w:eastAsia="zh-CN"/>
              </w:rPr>
            </w:pPr>
            <w:r>
              <w:rPr>
                <w:rFonts w:hint="eastAsia" w:eastAsia="宋体"/>
                <w:lang w:val="en-US" w:eastAsia="zh-CN"/>
              </w:rPr>
              <w:t>...</w:t>
            </w:r>
          </w:p>
        </w:tc>
      </w:tr>
    </w:tbl>
    <w:p>
      <w:pPr>
        <w:pStyle w:val="10"/>
        <w:bidi w:val="0"/>
        <w:rPr>
          <w:rFonts w:hint="eastAsia"/>
          <w:lang w:val="en-US" w:eastAsia="zh-CN"/>
        </w:rPr>
      </w:pPr>
      <w:r>
        <w:rPr>
          <w:rFonts w:hint="eastAsia"/>
          <w:lang w:val="en-US" w:eastAsia="zh-CN"/>
        </w:rPr>
        <w:t>Considering the Rx switching between FDD cell and SDL/FDD cell, when the Rx switches to the SDL/FDD cell, UE only receive DL from SDL/FDD cell, not any DL reception from FDD DL carrier, so it seems only the SDL/FDD cell could be the reference cell during this period. So the reference cell switching is also needed accompanied with the Rx switching. Actually in LAA case, such reference cell change has already introduced and captured in the clause 7.1.2 of 38.133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rFonts w:hint="default"/>
                <w:sz w:val="21"/>
                <w:szCs w:val="21"/>
                <w:vertAlign w:val="baseline"/>
                <w:lang w:val="en-US" w:eastAsia="zh-CN"/>
              </w:rPr>
            </w:pPr>
            <w:r>
              <w:rPr>
                <w:lang w:eastAsia="ko-KR"/>
              </w:rPr>
              <w:t>If a reference cell on a carrier frequency belonging to the PTAG, which is subject to CCA, is not available at the UE then the UE is allowed to use any of available activated SCell(s) at the UE in PTAG as a new reference cell. If the SCell used as reference cell is deactivated, or becomes not available, the UE is allowed to use another active serving cell in PTAG as new reference cell.</w:t>
            </w:r>
          </w:p>
        </w:tc>
      </w:tr>
    </w:tbl>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lang w:val="en-US" w:eastAsia="zh-CN"/>
        </w:rPr>
      </w:pPr>
      <w:r>
        <w:rPr>
          <w:rFonts w:hint="eastAsia"/>
          <w:b/>
          <w:bCs/>
          <w:lang w:val="en-US" w:eastAsia="zh-CN"/>
        </w:rPr>
        <w:t xml:space="preserve">Proposal 5: The reference cell switching is needed accompanied with the switching within pTAG. </w:t>
      </w:r>
    </w:p>
    <w:p>
      <w:pPr>
        <w:pStyle w:val="10"/>
        <w:bidi w:val="0"/>
        <w:rPr>
          <w:rFonts w:hint="default"/>
          <w:lang w:val="en-US" w:eastAsia="zh-CN"/>
        </w:rPr>
      </w:pPr>
      <w:r>
        <w:rPr>
          <w:rFonts w:hint="eastAsia"/>
          <w:lang w:val="en-US" w:eastAsia="zh-CN"/>
        </w:rPr>
        <w:t>For the initial UL transmission, it is required to receive SSB during the last 160ms for SCS 15/30 kHz, but not limit in which cell the SSB is received. So to our understanding, the latest SSB could be received in any cell of the CA. It seems no enh is needed at this point.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widowControl w:val="0"/>
              <w:numPr>
                <w:ilvl w:val="0"/>
                <w:numId w:val="0"/>
              </w:numPr>
              <w:jc w:val="both"/>
              <w:rPr>
                <w:rFonts w:hint="default" w:eastAsia="宋体"/>
                <w:sz w:val="21"/>
                <w:szCs w:val="21"/>
                <w:vertAlign w:val="baseline"/>
                <w:lang w:val="en-US" w:eastAsia="zh-CN"/>
              </w:rPr>
            </w:pPr>
            <w:r>
              <w:rPr>
                <w:rFonts w:cs="v4.2.0"/>
                <w:highlight w:val="none"/>
              </w:rPr>
              <w:t xml:space="preserve">When the UL SCS is 120 kHz or smaller, the UE shall meet the Te requirement for an initial transmission provided that at least one SSB is available at the UE during the last 160 ms. </w:t>
            </w:r>
          </w:p>
        </w:tc>
      </w:tr>
    </w:tbl>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u w:val="single"/>
          <w:lang w:val="en-US" w:eastAsia="zh-CN"/>
        </w:rPr>
      </w:pPr>
      <w:r>
        <w:rPr>
          <w:rFonts w:hint="eastAsia"/>
          <w:b/>
          <w:bCs/>
          <w:lang w:val="en-US" w:eastAsia="zh-CN"/>
        </w:rPr>
        <w:t>Proposal 6: As long as UE receives SSB within the last 160ms for SCS 15 kHz, no matter in which cell, the DL timing referred to the initial UL transmission could be guaranteed.</w:t>
      </w:r>
    </w:p>
    <w:p>
      <w:pPr>
        <w:pStyle w:val="10"/>
        <w:numPr>
          <w:ilvl w:val="0"/>
          <w:numId w:val="0"/>
        </w:numPr>
        <w:bidi w:val="0"/>
        <w:ind w:leftChars="0"/>
        <w:rPr>
          <w:rFonts w:hint="eastAsia"/>
          <w:u w:val="single"/>
          <w:lang w:val="en-US" w:eastAsia="zh-CN"/>
        </w:rPr>
      </w:pPr>
      <w:r>
        <w:rPr>
          <w:rFonts w:hint="eastAsia"/>
          <w:u w:val="single"/>
          <w:lang w:val="en-US" w:eastAsia="zh-CN"/>
        </w:rPr>
        <w:t>UE procedures for the switching</w:t>
      </w:r>
    </w:p>
    <w:p>
      <w:pPr>
        <w:pStyle w:val="10"/>
        <w:numPr>
          <w:ilvl w:val="0"/>
          <w:numId w:val="0"/>
        </w:numPr>
        <w:bidi w:val="0"/>
        <w:ind w:leftChars="0"/>
        <w:rPr>
          <w:rFonts w:hint="eastAsia"/>
          <w:lang w:val="en-US" w:eastAsia="zh-CN"/>
        </w:rPr>
      </w:pPr>
      <w:r>
        <w:rPr>
          <w:rFonts w:hint="eastAsia"/>
          <w:lang w:val="en-US" w:eastAsia="zh-CN"/>
        </w:rPr>
        <w:t>Similar as the existing SCell activation procedure, when UE switches from current serving cell to target serving cell, after performing the AGC, cell search, TCI state switching and fine T/F tracking, UE could operates DL reception at the target serving cell. So a procedure of cell switch after the switching point should be discussed.</w:t>
      </w:r>
    </w:p>
    <w:p>
      <w:pPr>
        <w:pStyle w:val="10"/>
        <w:numPr>
          <w:ilvl w:val="0"/>
          <w:numId w:val="0"/>
        </w:numPr>
        <w:bidi w:val="0"/>
        <w:ind w:leftChars="0"/>
        <w:rPr>
          <w:rFonts w:hint="eastAsia"/>
          <w:lang w:val="en-US" w:eastAsia="zh-CN"/>
        </w:rPr>
      </w:pPr>
      <w:r>
        <w:rPr>
          <w:rFonts w:hint="eastAsia"/>
          <w:lang w:val="en-US" w:eastAsia="zh-CN"/>
        </w:rPr>
        <w:t>Normally the UE should execute the AGC, cell search, TCI state switching and fine T/F tracking when switching to the target serving cell. While the switching pattern is semi-statically configured through RRC signaling, it is possible that UE could maintain part or all of these information from last operating on this target serving cell to this newly switch to this target serving cell, e.g. from the end point of T1 to the starting point of T2 as shown in Figure 2. So the procedure of switching could be reduced provided some side condition meets. Which is also utilized in existing SCell activation procedure.</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lang w:val="en-US" w:eastAsia="zh-CN"/>
        </w:rPr>
      </w:pPr>
      <w:r>
        <w:rPr>
          <w:rFonts w:hint="eastAsia"/>
          <w:b/>
          <w:bCs/>
          <w:lang w:val="en-US" w:eastAsia="zh-CN"/>
        </w:rPr>
        <w:t>Proposal 7: Normally the UE should execute the AGC, cell search, TCI state switching and fine T/F tracking when switching to the target serving cell. The whole switching procedure could be reduced provided some side condition meets similar as the existing SCell activation procedure.</w:t>
      </w:r>
    </w:p>
    <w:p>
      <w:pPr>
        <w:pStyle w:val="10"/>
        <w:numPr>
          <w:ilvl w:val="0"/>
          <w:numId w:val="0"/>
        </w:numPr>
        <w:bidi w:val="0"/>
        <w:ind w:leftChars="0"/>
        <w:rPr>
          <w:rFonts w:hint="default"/>
          <w:u w:val="single"/>
          <w:lang w:val="en-US" w:eastAsia="zh-CN"/>
        </w:rPr>
      </w:pPr>
      <w:r>
        <w:rPr>
          <w:rFonts w:hint="eastAsia"/>
          <w:u w:val="single"/>
          <w:lang w:val="en-US" w:eastAsia="zh-CN"/>
        </w:rPr>
        <w:t>Impact on RRM measurements</w:t>
      </w:r>
    </w:p>
    <w:p>
      <w:pPr>
        <w:pStyle w:val="10"/>
        <w:numPr>
          <w:ilvl w:val="0"/>
          <w:numId w:val="0"/>
        </w:numPr>
        <w:bidi w:val="0"/>
        <w:ind w:leftChars="0"/>
        <w:rPr>
          <w:rFonts w:hint="eastAsia"/>
          <w:lang w:val="en-US" w:eastAsia="zh-CN"/>
        </w:rPr>
      </w:pPr>
      <w:r>
        <w:rPr>
          <w:rFonts w:hint="eastAsia"/>
          <w:lang w:val="en-US" w:eastAsia="zh-CN"/>
        </w:rPr>
        <w:t>For the intention of mobility, in theory no matter which serving cell the UE switches to, the RRM measurements on both bands would be performed as long as the relevant MO is configured by NW. When the UE switches to band 1, the antenna and duplexer are both prepared for the reception/transmission at band 1, during this period, if the UE performs RRM measurement at other frequency outside band 1, we believe the following impact should be considered:</w:t>
      </w:r>
    </w:p>
    <w:p>
      <w:pPr>
        <w:pStyle w:val="10"/>
        <w:numPr>
          <w:ilvl w:val="0"/>
          <w:numId w:val="7"/>
        </w:numPr>
        <w:bidi w:val="0"/>
        <w:ind w:left="420" w:leftChars="0" w:hanging="420" w:firstLineChars="0"/>
        <w:rPr>
          <w:rFonts w:hint="default"/>
          <w:lang w:val="en-US" w:eastAsia="zh-CN"/>
        </w:rPr>
      </w:pPr>
      <w:r>
        <w:rPr>
          <w:rFonts w:hint="eastAsia"/>
          <w:lang w:val="en-US" w:eastAsia="zh-CN"/>
        </w:rPr>
        <w:t>The definition of intra-frequency/inter-frequency measurement</w:t>
      </w:r>
    </w:p>
    <w:p>
      <w:pPr>
        <w:pStyle w:val="10"/>
        <w:numPr>
          <w:ilvl w:val="0"/>
          <w:numId w:val="7"/>
        </w:numPr>
        <w:bidi w:val="0"/>
        <w:ind w:left="420" w:leftChars="0" w:hanging="420" w:firstLineChars="0"/>
        <w:rPr>
          <w:rFonts w:hint="default"/>
          <w:lang w:val="en-US" w:eastAsia="zh-CN"/>
        </w:rPr>
      </w:pPr>
      <w:r>
        <w:rPr>
          <w:rFonts w:hint="eastAsia"/>
          <w:lang w:val="en-US" w:eastAsia="zh-CN"/>
        </w:rPr>
        <w:t>The distinguish of with/without gap measurement</w:t>
      </w:r>
    </w:p>
    <w:p>
      <w:pPr>
        <w:pStyle w:val="10"/>
        <w:numPr>
          <w:ilvl w:val="0"/>
          <w:numId w:val="0"/>
        </w:numPr>
        <w:bidi w:val="0"/>
        <w:ind w:leftChars="0"/>
        <w:rPr>
          <w:rFonts w:hint="eastAsia"/>
          <w:lang w:val="en-US" w:eastAsia="zh-CN"/>
        </w:rPr>
      </w:pPr>
      <w:r>
        <w:rPr>
          <w:rFonts w:hint="eastAsia"/>
          <w:lang w:val="en-US" w:eastAsia="zh-CN"/>
        </w:rPr>
        <w:t>Although there are serving cell(s) in band 2, while since the UE has already switched to band 1, the UE would not receive any signal at the serving cell(s) of band 2, actually the serving cell(s) of band 2 are similar as legacy deactivated serving cell. The only difference between these serving cell(s) of band 2 and legacy deactivated serving cell lies in the UE is aware of when the serving cell(s) of band 2 would be re-switched to. Whether the UE still need to perform normal RRM measurement on these serving cell(s) of band 2 or switch to some slow measurement mode to trade off between the mobility and the interruption/gap, which should be discussed.</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Proposal 8: When the UE switches to band 1 from band 2, the definition of intra-frequency/inter-frequency measurement and the distinguish of with/without gap measurement in band 2 would be impacted.</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lang w:val="en-US" w:eastAsia="zh-CN"/>
        </w:rPr>
      </w:pPr>
      <w:r>
        <w:rPr>
          <w:rFonts w:hint="eastAsia"/>
          <w:b/>
          <w:bCs/>
          <w:lang w:val="en-US" w:eastAsia="zh-CN"/>
        </w:rPr>
        <w:t>Proposal 9: How to trade off between the mobility requirement and the interruption/gap led by the RRM measurement should be discussed.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Proposal 1: Categorize all potential band combinations of low band CA into two types:</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 Type 1: The whole frequency ranges of low band CA is not larger than 100MHz</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lang w:val="en-US" w:eastAsia="zh-CN"/>
        </w:rPr>
      </w:pPr>
      <w:r>
        <w:rPr>
          <w:rFonts w:hint="eastAsia"/>
          <w:b/>
          <w:bCs/>
          <w:lang w:val="en-US" w:eastAsia="zh-CN"/>
        </w:rPr>
        <w:t>- Type 2: The whole frequency ranges of low band CA is larger than 100MHz</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lang w:val="en-US" w:eastAsia="zh-CN"/>
        </w:rPr>
      </w:pPr>
      <w:r>
        <w:rPr>
          <w:rFonts w:hint="eastAsia"/>
          <w:b/>
          <w:bCs/>
          <w:lang w:val="en-US" w:eastAsia="zh-CN"/>
        </w:rPr>
        <w:t>The switching solution is necessary for Type 1 as restricted by the duplexer. The switching solution is necessary for Type 2 as well since common antenna of UE incapable of covering the two bands simultaneously.</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 xml:space="preserve">Proposal 2: Whether the interruption/gap is caused by the switching between the two bands of low band CA should be identified. </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u w:val="single"/>
          <w:lang w:val="en-US" w:eastAsia="zh-CN"/>
        </w:rPr>
      </w:pPr>
      <w:r>
        <w:rPr>
          <w:rFonts w:hint="eastAsia"/>
          <w:b/>
          <w:bCs/>
          <w:lang w:val="en-US" w:eastAsia="zh-CN"/>
        </w:rPr>
        <w:t>Proposal 3: The RTD between the two low bands is not larger than CP.</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lang w:val="en-US" w:eastAsia="zh-CN"/>
        </w:rPr>
      </w:pPr>
      <w:r>
        <w:rPr>
          <w:rFonts w:hint="eastAsia"/>
          <w:b/>
          <w:bCs/>
          <w:lang w:val="en-US" w:eastAsia="zh-CN"/>
        </w:rPr>
        <w:t xml:space="preserve">Proposal 4: No additional enhancement is needed for UL timing. </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lang w:val="en-US" w:eastAsia="zh-CN"/>
        </w:rPr>
      </w:pPr>
      <w:r>
        <w:rPr>
          <w:rFonts w:hint="eastAsia"/>
          <w:b/>
          <w:bCs/>
          <w:lang w:val="en-US" w:eastAsia="zh-CN"/>
        </w:rPr>
        <w:t xml:space="preserve">Proposal 5: The reference cell switching is needed accompanied with the switching within pTAG. </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u w:val="single"/>
          <w:lang w:val="en-US" w:eastAsia="zh-CN"/>
        </w:rPr>
      </w:pPr>
      <w:r>
        <w:rPr>
          <w:rFonts w:hint="eastAsia"/>
          <w:b/>
          <w:bCs/>
          <w:lang w:val="en-US" w:eastAsia="zh-CN"/>
        </w:rPr>
        <w:t>Proposal 6: As long as UE receives SSB within the last 160ms for SCS 15 kHz, no matter in which cell, the DL timing referred to the initial UL transmission could be guaranteed.</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lang w:val="en-US" w:eastAsia="zh-CN"/>
        </w:rPr>
      </w:pPr>
      <w:r>
        <w:rPr>
          <w:rFonts w:hint="eastAsia"/>
          <w:b/>
          <w:bCs/>
          <w:lang w:val="en-US" w:eastAsia="zh-CN"/>
        </w:rPr>
        <w:t>Proposal 7: Normally the UE should execute the AGC, cell search, TCI state switching and fine T/F tracking when switching to the target serving cell. The whole switching procedure could be reduced provided some side condition meets similar as the existing SCell activation procedure.</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Proposal 8: When the UE switches to band 1 from band 2, the definition of intra-frequency/inter-frequency measurement and the distinguish of with/without gap measurement in band 2 would be impacted.</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pPr>
      <w:r>
        <w:rPr>
          <w:rFonts w:hint="eastAsia"/>
          <w:b/>
          <w:bCs/>
          <w:lang w:val="en-US" w:eastAsia="zh-CN"/>
        </w:rPr>
        <w:t>Proposal 9: How to trade off between the mobility requirement and the interruption/gap led by the RRM measurement should be discussed.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1"/>
        <w:numPr>
          <w:ilvl w:val="0"/>
          <w:numId w:val="8"/>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RP-243317, New WID on low band carrier aggregation via switching, Apple, TELUS, Bell Mobility, BT plc, Skyworks Solutions Inc., Anterix, Southern Linc, AT&amp;T, Boost Mobile Network, Murata, Ericsson, Samsung, Qorvo, Nokia, Huawei, HiSilicon, vivo, OPPO, Qualcomm, Google, Sony, ZTE, Intel Corporation, MediaTek, LGE</w:t>
      </w:r>
    </w:p>
    <w:p>
      <w:pPr>
        <w:pStyle w:val="11"/>
        <w:numPr>
          <w:ilvl w:val="0"/>
          <w:numId w:val="8"/>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RP-242532, Motivation for a new work item on low band carrier aggregation via switching in Rel-19, AT&amp;T, Anterix, Apple, Bell Mobility, Boost Mobile Network, BT plc, Ericsson, Google, HiSilicon, Huawei, Murata, Nokia, OPPO, Qorvo, Qualcomm, Samsung, Skyworks Solutions Inc., Sony, Southern Linc, TELUS, vivo, ZTE</w:t>
      </w: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eastAsia"/>
          <w:color w:val="auto"/>
          <w:sz w:val="20"/>
          <w:szCs w:val="20"/>
          <w:highlight w:val="none"/>
          <w:lang w:val="en-US" w:eastAsia="zh-CN"/>
        </w:rPr>
      </w:pPr>
    </w:p>
    <w:p>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v4.2.0">
    <w:altName w:val="Times New Roman"/>
    <w:panose1 w:val="020B0604020202020204"/>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D143CF"/>
    <w:multiLevelType w:val="multilevel"/>
    <w:tmpl w:val="9FD143CF"/>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rPr>
    </w:lvl>
    <w:lvl w:ilvl="2" w:tentative="0">
      <w:start w:val="1"/>
      <w:numFmt w:val="bullet"/>
      <w:lvlText w:val=""/>
      <w:lvlJc w:val="left"/>
      <w:pPr>
        <w:tabs>
          <w:tab w:val="left" w:pos="1260"/>
        </w:tabs>
        <w:ind w:left="1680" w:leftChars="0" w:hanging="420" w:firstLineChars="0"/>
      </w:pPr>
      <w:rPr>
        <w:rFonts w:hint="default"/>
      </w:rPr>
    </w:lvl>
    <w:lvl w:ilvl="3" w:tentative="0">
      <w:start w:val="1"/>
      <w:numFmt w:val="bullet"/>
      <w:lvlText w:val=""/>
      <w:lvlJc w:val="left"/>
      <w:pPr>
        <w:tabs>
          <w:tab w:val="left" w:pos="1680"/>
        </w:tabs>
        <w:ind w:left="2100" w:leftChars="0" w:hanging="420" w:firstLineChars="0"/>
      </w:pPr>
      <w:rPr>
        <w:rFonts w:hint="default"/>
      </w:rPr>
    </w:lvl>
    <w:lvl w:ilvl="4" w:tentative="0">
      <w:start w:val="1"/>
      <w:numFmt w:val="bullet"/>
      <w:lvlText w:val=""/>
      <w:lvlJc w:val="left"/>
      <w:pPr>
        <w:tabs>
          <w:tab w:val="left" w:pos="2100"/>
        </w:tabs>
        <w:ind w:left="2520" w:leftChars="0" w:hanging="420" w:firstLineChars="0"/>
      </w:pPr>
      <w:rPr>
        <w:rFonts w:hint="default"/>
      </w:rPr>
    </w:lvl>
    <w:lvl w:ilvl="5" w:tentative="0">
      <w:start w:val="1"/>
      <w:numFmt w:val="bullet"/>
      <w:lvlText w:val=""/>
      <w:lvlJc w:val="left"/>
      <w:pPr>
        <w:tabs>
          <w:tab w:val="left" w:pos="2520"/>
        </w:tabs>
        <w:ind w:left="2940" w:leftChars="0" w:hanging="420" w:firstLineChars="0"/>
      </w:pPr>
      <w:rPr>
        <w:rFonts w:hint="default"/>
      </w:rPr>
    </w:lvl>
    <w:lvl w:ilvl="6" w:tentative="0">
      <w:start w:val="1"/>
      <w:numFmt w:val="bullet"/>
      <w:lvlText w:val=""/>
      <w:lvlJc w:val="left"/>
      <w:pPr>
        <w:tabs>
          <w:tab w:val="left" w:pos="2940"/>
        </w:tabs>
        <w:ind w:left="3360" w:leftChars="0" w:hanging="420" w:firstLineChars="0"/>
      </w:pPr>
      <w:rPr>
        <w:rFonts w:hint="default"/>
      </w:rPr>
    </w:lvl>
    <w:lvl w:ilvl="7" w:tentative="0">
      <w:start w:val="1"/>
      <w:numFmt w:val="bullet"/>
      <w:lvlText w:val=""/>
      <w:lvlJc w:val="left"/>
      <w:pPr>
        <w:tabs>
          <w:tab w:val="left" w:pos="3360"/>
        </w:tabs>
        <w:ind w:left="3780" w:leftChars="0" w:hanging="420" w:firstLineChars="0"/>
      </w:pPr>
      <w:rPr>
        <w:rFonts w:hint="default"/>
      </w:rPr>
    </w:lvl>
    <w:lvl w:ilvl="8" w:tentative="0">
      <w:start w:val="1"/>
      <w:numFmt w:val="bullet"/>
      <w:lvlText w:val=""/>
      <w:lvlJc w:val="left"/>
      <w:pPr>
        <w:tabs>
          <w:tab w:val="left" w:pos="3780"/>
        </w:tabs>
        <w:ind w:left="4200" w:leftChars="0" w:hanging="420" w:firstLineChars="0"/>
      </w:pPr>
      <w:rPr>
        <w:rFonts w:hint="default"/>
      </w:rPr>
    </w:lvl>
  </w:abstractNum>
  <w:abstractNum w:abstractNumId="1">
    <w:nsid w:val="D7E0B137"/>
    <w:multiLevelType w:val="singleLevel"/>
    <w:tmpl w:val="D7E0B137"/>
    <w:lvl w:ilvl="0" w:tentative="0">
      <w:start w:val="1"/>
      <w:numFmt w:val="bullet"/>
      <w:lvlText w:val=""/>
      <w:lvlJc w:val="left"/>
      <w:pPr>
        <w:ind w:left="420" w:hanging="420"/>
      </w:pPr>
      <w:rPr>
        <w:rFonts w:hint="default" w:ascii="Wingdings" w:hAnsi="Wingdings"/>
      </w:rPr>
    </w:lvl>
  </w:abstractNum>
  <w:abstractNum w:abstractNumId="2">
    <w:nsid w:val="DC4FDA6D"/>
    <w:multiLevelType w:val="singleLevel"/>
    <w:tmpl w:val="DC4FDA6D"/>
    <w:lvl w:ilvl="0" w:tentative="0">
      <w:start w:val="1"/>
      <w:numFmt w:val="decimal"/>
      <w:suff w:val="space"/>
      <w:lvlText w:val="[%1]"/>
      <w:lvlJc w:val="left"/>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5C403D1"/>
    <w:multiLevelType w:val="singleLevel"/>
    <w:tmpl w:val="45C403D1"/>
    <w:lvl w:ilvl="0" w:tentative="0">
      <w:start w:val="1"/>
      <w:numFmt w:val="bullet"/>
      <w:lvlText w:val=""/>
      <w:lvlJc w:val="left"/>
      <w:pPr>
        <w:ind w:left="420" w:hanging="420"/>
      </w:pPr>
      <w:rPr>
        <w:rFonts w:hint="default" w:ascii="Wingdings" w:hAnsi="Wingdings"/>
      </w:rPr>
    </w:lvl>
  </w:abstractNum>
  <w:abstractNum w:abstractNumId="5">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6"/>
  </w:num>
  <w:num w:numId="3">
    <w:abstractNumId w:val="5"/>
  </w:num>
  <w:num w:numId="4">
    <w:abstractNumId w:val="3"/>
  </w:num>
  <w:num w:numId="5">
    <w:abstractNumId w:val="4"/>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5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F0E14"/>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A605E"/>
    <w:rsid w:val="035B40C3"/>
    <w:rsid w:val="037709BE"/>
    <w:rsid w:val="037D0CB3"/>
    <w:rsid w:val="0396118A"/>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12D96"/>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8E3333"/>
    <w:rsid w:val="0A992429"/>
    <w:rsid w:val="0AAC36DF"/>
    <w:rsid w:val="0AD017A1"/>
    <w:rsid w:val="0AE47427"/>
    <w:rsid w:val="0AEB4F7E"/>
    <w:rsid w:val="0AF922DB"/>
    <w:rsid w:val="0B0362DC"/>
    <w:rsid w:val="0B12013A"/>
    <w:rsid w:val="0B1E364C"/>
    <w:rsid w:val="0B2D2436"/>
    <w:rsid w:val="0B3A59CA"/>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503200"/>
    <w:rsid w:val="0E6B7D9D"/>
    <w:rsid w:val="0E787DDC"/>
    <w:rsid w:val="0E7E6ECB"/>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EE5313"/>
    <w:rsid w:val="14FA2A13"/>
    <w:rsid w:val="153A0A1D"/>
    <w:rsid w:val="153A6EF0"/>
    <w:rsid w:val="1540202C"/>
    <w:rsid w:val="155456B8"/>
    <w:rsid w:val="15560C75"/>
    <w:rsid w:val="155B63E3"/>
    <w:rsid w:val="15647C42"/>
    <w:rsid w:val="156521B8"/>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6E37CD"/>
    <w:rsid w:val="177A53BF"/>
    <w:rsid w:val="178022B2"/>
    <w:rsid w:val="178131D1"/>
    <w:rsid w:val="179862E6"/>
    <w:rsid w:val="179941B3"/>
    <w:rsid w:val="179A7349"/>
    <w:rsid w:val="17A4777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8C5E14"/>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F6DF3"/>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756F70"/>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04E5C"/>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97C97"/>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473960"/>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A919D0"/>
    <w:rsid w:val="2FB7446E"/>
    <w:rsid w:val="2FC1649F"/>
    <w:rsid w:val="2FFE4655"/>
    <w:rsid w:val="2FFF0FC6"/>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65147E"/>
    <w:rsid w:val="31927D00"/>
    <w:rsid w:val="319708F2"/>
    <w:rsid w:val="31B14C9E"/>
    <w:rsid w:val="31C44C64"/>
    <w:rsid w:val="31D75BEC"/>
    <w:rsid w:val="31EF09FD"/>
    <w:rsid w:val="31EF4BCB"/>
    <w:rsid w:val="31F34E0D"/>
    <w:rsid w:val="320346CB"/>
    <w:rsid w:val="32282F84"/>
    <w:rsid w:val="3230175C"/>
    <w:rsid w:val="32474D62"/>
    <w:rsid w:val="32495BBC"/>
    <w:rsid w:val="324E54ED"/>
    <w:rsid w:val="325512F0"/>
    <w:rsid w:val="32661BCC"/>
    <w:rsid w:val="32713486"/>
    <w:rsid w:val="3278056E"/>
    <w:rsid w:val="327B6B95"/>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D73B1B"/>
    <w:rsid w:val="38F95C2E"/>
    <w:rsid w:val="38FD559B"/>
    <w:rsid w:val="39003390"/>
    <w:rsid w:val="390F72CD"/>
    <w:rsid w:val="392A3614"/>
    <w:rsid w:val="3941547E"/>
    <w:rsid w:val="394419EF"/>
    <w:rsid w:val="39475996"/>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357324"/>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4B38C2"/>
    <w:rsid w:val="3E5323C8"/>
    <w:rsid w:val="3E5C0E54"/>
    <w:rsid w:val="3E5D15DE"/>
    <w:rsid w:val="3E6831F2"/>
    <w:rsid w:val="3E685E5E"/>
    <w:rsid w:val="3E704C35"/>
    <w:rsid w:val="3E7316CB"/>
    <w:rsid w:val="3E771FD5"/>
    <w:rsid w:val="3E832F5F"/>
    <w:rsid w:val="3E83729F"/>
    <w:rsid w:val="3EA35B23"/>
    <w:rsid w:val="3EAF44FF"/>
    <w:rsid w:val="3EB06BA3"/>
    <w:rsid w:val="3ED0302D"/>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64A87"/>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E53350"/>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9E9338D"/>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DC5973"/>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B741B"/>
    <w:rsid w:val="4CBF4B6F"/>
    <w:rsid w:val="4CCE38DC"/>
    <w:rsid w:val="4CE04381"/>
    <w:rsid w:val="4CE91422"/>
    <w:rsid w:val="4CFD051B"/>
    <w:rsid w:val="4D171AC3"/>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273BB"/>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6834C6"/>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563145"/>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8F8146E"/>
    <w:rsid w:val="59021A1C"/>
    <w:rsid w:val="590525A9"/>
    <w:rsid w:val="59296D9D"/>
    <w:rsid w:val="594B3F35"/>
    <w:rsid w:val="595E268E"/>
    <w:rsid w:val="596B1A25"/>
    <w:rsid w:val="596E3BBB"/>
    <w:rsid w:val="597B223C"/>
    <w:rsid w:val="5984486C"/>
    <w:rsid w:val="59874BEF"/>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CFE7D8B"/>
    <w:rsid w:val="5D035192"/>
    <w:rsid w:val="5D0C6764"/>
    <w:rsid w:val="5D193B8A"/>
    <w:rsid w:val="5D1A2BCC"/>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8F511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B7312"/>
    <w:rsid w:val="5FBD4362"/>
    <w:rsid w:val="5FD97DB6"/>
    <w:rsid w:val="5FDC5DB4"/>
    <w:rsid w:val="5FF60AC8"/>
    <w:rsid w:val="5FFE006B"/>
    <w:rsid w:val="601A26C3"/>
    <w:rsid w:val="601F0157"/>
    <w:rsid w:val="60264CE8"/>
    <w:rsid w:val="60340230"/>
    <w:rsid w:val="6040432D"/>
    <w:rsid w:val="60425E29"/>
    <w:rsid w:val="60474E7B"/>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668B3"/>
    <w:rsid w:val="630C63B9"/>
    <w:rsid w:val="634C244A"/>
    <w:rsid w:val="63581625"/>
    <w:rsid w:val="635902CD"/>
    <w:rsid w:val="6359154E"/>
    <w:rsid w:val="63660C1E"/>
    <w:rsid w:val="636810D4"/>
    <w:rsid w:val="63AB150B"/>
    <w:rsid w:val="63B44E9B"/>
    <w:rsid w:val="63C11EF5"/>
    <w:rsid w:val="63C40D91"/>
    <w:rsid w:val="63C55572"/>
    <w:rsid w:val="63C90630"/>
    <w:rsid w:val="63CC1082"/>
    <w:rsid w:val="63D94F4D"/>
    <w:rsid w:val="63E271B2"/>
    <w:rsid w:val="63E95A49"/>
    <w:rsid w:val="63F54718"/>
    <w:rsid w:val="63F77EDC"/>
    <w:rsid w:val="63FA567E"/>
    <w:rsid w:val="640A4B8F"/>
    <w:rsid w:val="640C4D77"/>
    <w:rsid w:val="640F772C"/>
    <w:rsid w:val="642E5B37"/>
    <w:rsid w:val="64480456"/>
    <w:rsid w:val="6449788C"/>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C5D0F"/>
    <w:rsid w:val="661E59C9"/>
    <w:rsid w:val="6621310D"/>
    <w:rsid w:val="66277FAF"/>
    <w:rsid w:val="66355606"/>
    <w:rsid w:val="664B5C0B"/>
    <w:rsid w:val="665244EE"/>
    <w:rsid w:val="66547455"/>
    <w:rsid w:val="666B43E4"/>
    <w:rsid w:val="6678346C"/>
    <w:rsid w:val="669B3234"/>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40AA3"/>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530CB1"/>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08E2"/>
    <w:rsid w:val="72A16B66"/>
    <w:rsid w:val="72A25AEE"/>
    <w:rsid w:val="72AF5368"/>
    <w:rsid w:val="72BC2E0B"/>
    <w:rsid w:val="72BF60CA"/>
    <w:rsid w:val="72D57759"/>
    <w:rsid w:val="72EA1DC7"/>
    <w:rsid w:val="72F41282"/>
    <w:rsid w:val="72FE7563"/>
    <w:rsid w:val="730D377F"/>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8771F"/>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B6635D"/>
    <w:rsid w:val="77C067C3"/>
    <w:rsid w:val="77D3696A"/>
    <w:rsid w:val="77DB19DB"/>
    <w:rsid w:val="77E50650"/>
    <w:rsid w:val="77EF51A2"/>
    <w:rsid w:val="780479BF"/>
    <w:rsid w:val="78094BD7"/>
    <w:rsid w:val="780D6C4F"/>
    <w:rsid w:val="78134DB8"/>
    <w:rsid w:val="78157472"/>
    <w:rsid w:val="782010F3"/>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40C89"/>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E6680C"/>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6"/>
    <w:basedOn w:val="1"/>
    <w:next w:val="1"/>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11"/>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Reference"/>
    <w:basedOn w:val="10"/>
    <w:qFormat/>
    <w:locked/>
    <w:uiPriority w:val="99"/>
    <w:pPr>
      <w:numPr>
        <w:ilvl w:val="0"/>
        <w:numId w:val="3"/>
      </w:numPr>
    </w:pPr>
  </w:style>
  <w:style w:type="paragraph" w:customStyle="1" w:styleId="67">
    <w:name w:val="Guidance"/>
    <w:basedOn w:val="1"/>
    <w:qFormat/>
    <w:uiPriority w:val="0"/>
    <w:pPr>
      <w:textAlignment w:val="auto"/>
    </w:pPr>
    <w:rPr>
      <w:rFonts w:eastAsia="Times New Roman"/>
      <w:i/>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2025-02-07T09:02:17Z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28ED74877E8945EBA25559CFA691162C</vt:lpwstr>
  </property>
</Properties>
</file>